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28544" behindDoc="1" locked="0" layoutInCell="1" allowOverlap="1">
            <wp:simplePos x="0" y="0"/>
            <wp:positionH relativeFrom="column">
              <wp:posOffset>-971550</wp:posOffset>
            </wp:positionH>
            <wp:positionV relativeFrom="paragraph">
              <wp:posOffset>-1389380</wp:posOffset>
            </wp:positionV>
            <wp:extent cx="7576820" cy="10751820"/>
            <wp:effectExtent l="0" t="0" r="5080" b="11430"/>
            <wp:wrapNone/>
            <wp:docPr id="7" name="图片 7" descr="C:\Users\Administrator\Desktop\微信图片_20190929104233.png微信图片_2019092910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微信图片_20190929104233.png微信图片_20190929104233"/>
                    <pic:cNvPicPr>
                      <a:picLocks noChangeAspect="1"/>
                    </pic:cNvPicPr>
                  </pic:nvPicPr>
                  <pic:blipFill>
                    <a:blip r:embed="rId4"/>
                    <a:srcRect/>
                    <a:stretch>
                      <a:fillRect/>
                    </a:stretch>
                  </pic:blipFill>
                  <pic:spPr>
                    <a:xfrm>
                      <a:off x="0" y="0"/>
                      <a:ext cx="7576820" cy="10751820"/>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7pt;height:204.8pt;width:596.2pt;z-index:251635712;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0"/>
                      <w:szCs w:val="90"/>
                    </w:rPr>
                  </w:pPr>
                  <w:r>
                    <w:rPr>
                      <w:rFonts w:hint="eastAsia" w:hAnsi="宋体" w:asciiTheme="minorEastAsia" w:eastAsiaTheme="minorEastAsia"/>
                      <w:color w:val="FDEFBE"/>
                      <w:sz w:val="90"/>
                      <w:szCs w:val="90"/>
                    </w:rPr>
                    <w:t>中共张家口市万全区</w:t>
                  </w:r>
                </w:p>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0"/>
                      <w:szCs w:val="90"/>
                    </w:rPr>
                    <w:t>纪律检查委员会</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r>
        <w:rPr>
          <w:rFonts w:hint="eastAsia" w:ascii="楷体" w:hAnsi="楷体" w:eastAsia="楷体" w:cs="楷体"/>
          <w:b/>
          <w:sz w:val="40"/>
          <w:szCs w:val="40"/>
        </w:rPr>
        <w:t>（部门公章）</w:t>
      </w:r>
    </w:p>
    <w:p>
      <w:pPr>
        <w:widowControl/>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二〇一九年八月</w:t>
      </w:r>
    </w:p>
    <w:p>
      <w:pPr>
        <w:spacing w:beforeLines="200" w:after="0" w:line="1000" w:lineRule="exact"/>
        <w:jc w:val="center"/>
        <w:rPr>
          <w:rFonts w:ascii="黑体" w:eastAsia="黑体"/>
          <w:sz w:val="48"/>
          <w:szCs w:val="48"/>
        </w:rPr>
      </w:pPr>
      <w:r>
        <w:rPr>
          <w:rFonts w:eastAsia="黑体"/>
          <w:sz w:val="32"/>
          <w:szCs w:val="32"/>
        </w:rPr>
        <w:pict>
          <v:group id="_x0000_s1361" o:spid="_x0000_s1361" o:spt="203" style="position:absolute;left:0pt;margin-left:-80.1pt;margin-top:28.25pt;height:46.7pt;width:222.8pt;mso-position-vertical-relative:page;z-index:25169305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362"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363"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r>
        <w:rPr>
          <w:rFonts w:eastAsia="黑体"/>
          <w:sz w:val="32"/>
          <w:szCs w:val="32"/>
        </w:rPr>
        <w:pict>
          <v:group id="_x0000_s1131" o:spid="_x0000_s1131" o:spt="203" style="position:absolute;left:0pt;margin-left:-80.1pt;margin-top:28.25pt;height:46.7pt;width:222.8pt;mso-position-vertical-relative:page;z-index:25166233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32"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33"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firstLine="640" w:firstLineChars="200"/>
        <w:rPr>
          <w:rFonts w:eastAsia="黑体"/>
          <w:sz w:val="32"/>
          <w:szCs w:val="32"/>
        </w:rPr>
      </w:pPr>
      <w:r>
        <w:rPr>
          <w:rFonts w:eastAsia="黑体"/>
          <w:sz w:val="32"/>
          <w:szCs w:val="32"/>
        </w:rPr>
        <w:t>第三部分  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80.8pt;margin-top:38.95pt;height:46.7pt;width:222.8pt;mso-position-vertical-relative:page;z-index:251642880;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2956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4083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34" o:spid="_x0000_s1134" o:spt="203" style="position:absolute;left:0pt;margin-left:-80.05pt;margin-top:21.75pt;height:46.7pt;width:245.25pt;mso-position-vertical-relative:page;z-index:251663360;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35" o:spid="_x0000_s1135"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36" o:spid="_x0000_s113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b w:val="0"/>
          <w:bCs w:val="0"/>
          <w:sz w:val="32"/>
          <w:szCs w:val="32"/>
        </w:rPr>
        <w:pict>
          <v:group id="_x0000_s1114" o:spid="_x0000_s1114" o:spt="203" style="position:absolute;left:0pt;margin-left:-80.8pt;margin-top:39.5pt;height:46.7pt;width:245.25pt;mso-position-vertical-relative:page;z-index:251636736;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spacing w:line="600" w:lineRule="exact"/>
        <w:ind w:firstLine="640" w:firstLineChars="200"/>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rPr>
        <w:t>（一）</w:t>
      </w:r>
      <w:r>
        <w:rPr>
          <w:rFonts w:hint="eastAsia" w:ascii="方正楷体_GBK" w:hAnsi="方正楷体_GBK" w:eastAsia="方正楷体_GBK" w:cs="方正楷体_GBK"/>
          <w:sz w:val="32"/>
          <w:szCs w:val="32"/>
          <w:lang w:val="en-US" w:eastAsia="zh-CN"/>
        </w:rPr>
        <w:t>区纪委监委主要职责</w:t>
      </w:r>
    </w:p>
    <w:p>
      <w:pPr>
        <w:spacing w:line="600" w:lineRule="exact"/>
        <w:ind w:firstLine="640" w:firstLineChars="200"/>
        <w:rPr>
          <w:rFonts w:ascii="Times New Roman" w:hAnsi="Times New Roman" w:eastAsia="方正仿宋_GBK"/>
          <w:sz w:val="32"/>
          <w:szCs w:val="32"/>
        </w:rPr>
      </w:pPr>
      <w:r>
        <w:rPr>
          <w:rFonts w:hint="eastAsia" w:eastAsia="方正仿宋_GBK"/>
          <w:sz w:val="32"/>
          <w:szCs w:val="32"/>
          <w:lang w:val="en-US" w:eastAsia="zh-CN"/>
        </w:rPr>
        <w:t>1.</w:t>
      </w:r>
      <w:r>
        <w:rPr>
          <w:rFonts w:ascii="Times New Roman" w:hAnsi="Times New Roman" w:eastAsia="方正仿宋_GBK"/>
          <w:sz w:val="32"/>
          <w:szCs w:val="32"/>
        </w:rPr>
        <w:t>负责全区党的纪律检查工作。贯彻落实党中央、省委、市委和区委关于纪律检查工作的决策部署，维护党的章程和其他党内法规，检查党的路线方针政策和决议的执行情况，协助区委推进全面从严治党、加强党风建设和组织协调反腐败工作。</w:t>
      </w:r>
    </w:p>
    <w:p>
      <w:pPr>
        <w:spacing w:line="600" w:lineRule="exact"/>
        <w:ind w:firstLine="640" w:firstLineChars="200"/>
        <w:rPr>
          <w:rFonts w:ascii="Times New Roman" w:hAnsi="Times New Roman" w:eastAsia="方正仿宋_GBK"/>
          <w:sz w:val="32"/>
          <w:szCs w:val="32"/>
        </w:rPr>
      </w:pPr>
      <w:r>
        <w:rPr>
          <w:rFonts w:hint="eastAsia" w:eastAsia="方正仿宋_GBK"/>
          <w:sz w:val="32"/>
          <w:szCs w:val="32"/>
          <w:lang w:val="en-US" w:eastAsia="zh-CN"/>
        </w:rPr>
        <w:t>2.</w:t>
      </w:r>
      <w:r>
        <w:rPr>
          <w:rFonts w:ascii="Times New Roman" w:hAnsi="Times New Roman" w:eastAsia="方正仿宋_GBK"/>
          <w:sz w:val="32"/>
          <w:szCs w:val="32"/>
        </w:rPr>
        <w:t>依照党的章程和其他党内法规履行监督、执纪、问责职责。负责经常对党员进行遵守纪律的教育，作出关于维护党纪的决定；对区委工作机关、区委批准设立的党组（党委），各乡镇党委、纪委等党的组织和区委管理的党员领导干部履行职责、行使权力进行监督，受理处置党员群众检举举报，开展谈话提醒、约谈函询；检查和处理上述党的组织和党员违反党的章程和其他党内法规的比较重要或者复杂的案件，决定或者取消对这些案件中的党员的处分；进行问责或者提出责任追究的建议；受理党员的控告和申诉；保障党员的权利。</w:t>
      </w:r>
    </w:p>
    <w:p>
      <w:pPr>
        <w:spacing w:line="600" w:lineRule="exact"/>
        <w:ind w:firstLine="640" w:firstLineChars="200"/>
        <w:rPr>
          <w:rFonts w:ascii="Times New Roman" w:hAnsi="Times New Roman" w:eastAsia="方正仿宋_GBK"/>
          <w:sz w:val="32"/>
          <w:szCs w:val="32"/>
        </w:rPr>
      </w:pPr>
      <w:r>
        <w:rPr>
          <w:rFonts w:hint="eastAsia" w:eastAsia="方正仿宋_GBK"/>
          <w:sz w:val="32"/>
          <w:szCs w:val="32"/>
          <w:lang w:val="en-US" w:eastAsia="zh-CN"/>
        </w:rPr>
        <w:t>3.</w:t>
      </w:r>
      <w:r>
        <w:rPr>
          <w:rFonts w:ascii="Times New Roman" w:hAnsi="Times New Roman" w:eastAsia="方正仿宋_GBK"/>
          <w:sz w:val="32"/>
          <w:szCs w:val="32"/>
        </w:rPr>
        <w:t>支持配合巡视巡察工作。承担巡察整改日常监督责任，做好巡察整改督查督办工作，依规依纪依法处置巡视巡察移交的反映领导干部问题线索。</w:t>
      </w:r>
    </w:p>
    <w:p>
      <w:pPr>
        <w:spacing w:line="600" w:lineRule="exact"/>
        <w:ind w:firstLine="640" w:firstLineChars="200"/>
        <w:rPr>
          <w:rFonts w:ascii="Times New Roman" w:hAnsi="Times New Roman" w:eastAsia="方正仿宋_GBK"/>
          <w:sz w:val="32"/>
          <w:szCs w:val="32"/>
        </w:rPr>
      </w:pPr>
      <w:r>
        <w:rPr>
          <w:rFonts w:hint="eastAsia" w:eastAsia="方正仿宋_GBK"/>
          <w:sz w:val="32"/>
          <w:szCs w:val="32"/>
          <w:lang w:val="en-US" w:eastAsia="zh-CN"/>
        </w:rPr>
        <w:t>4.</w:t>
      </w:r>
      <w:r>
        <w:rPr>
          <w:rFonts w:ascii="Times New Roman" w:hAnsi="Times New Roman" w:eastAsia="方正仿宋_GBK"/>
          <w:sz w:val="32"/>
          <w:szCs w:val="32"/>
        </w:rPr>
        <w:t>负责全区监察工作。贯彻落实党中央、省委、市委和区委关于监察工作的决策部署，维护宪法法律，依法对区委管理的行使公权力的公职人员进行监察，调查职务违法和职务犯罪，开展廉政建设和反腐败工作。</w:t>
      </w:r>
    </w:p>
    <w:p>
      <w:pPr>
        <w:spacing w:line="600" w:lineRule="exact"/>
        <w:ind w:firstLine="640" w:firstLineChars="200"/>
        <w:rPr>
          <w:rFonts w:ascii="Times New Roman" w:hAnsi="Times New Roman" w:eastAsia="方正仿宋_GBK"/>
          <w:sz w:val="32"/>
          <w:szCs w:val="32"/>
        </w:rPr>
      </w:pPr>
      <w:r>
        <w:rPr>
          <w:rFonts w:hint="eastAsia" w:eastAsia="方正仿宋_GBK"/>
          <w:sz w:val="32"/>
          <w:szCs w:val="32"/>
          <w:lang w:val="en-US" w:eastAsia="zh-CN"/>
        </w:rPr>
        <w:t>5.</w:t>
      </w:r>
      <w:r>
        <w:rPr>
          <w:rFonts w:ascii="Times New Roman" w:hAnsi="Times New Roman" w:eastAsia="方正仿宋_GBK"/>
          <w:sz w:val="32"/>
          <w:szCs w:val="32"/>
        </w:rPr>
        <w:t>依照法律规定履行监督、调查、处置职责。推动开展廉政教育，对区委管理的行使公权力的公职人员依法履职、秉公用权、廉洁从政从业以及道德操守情况进行监督检查；对涉嫌贪污贿赂、滥用职权、玩忽职守、权力寻租、利益输送、徇私舞弊以及浪费国家资财等职务违法和职务犯罪进行调查；对违法的公职人员依法作出政务处分决定；对履行职责不力、失职失责的领导人员进行问责；对涉嫌职务犯罪的，将调查结果移送人民检察院依法审查、提起公诉；向监察对象所在单位提出监察建议。</w:t>
      </w:r>
    </w:p>
    <w:p>
      <w:pPr>
        <w:spacing w:line="600" w:lineRule="exact"/>
        <w:ind w:firstLine="640" w:firstLineChars="200"/>
        <w:rPr>
          <w:rFonts w:ascii="Times New Roman" w:hAnsi="Times New Roman" w:eastAsia="方正仿宋_GBK"/>
          <w:sz w:val="32"/>
          <w:szCs w:val="32"/>
        </w:rPr>
      </w:pPr>
      <w:r>
        <w:rPr>
          <w:rFonts w:hint="eastAsia" w:eastAsia="方正仿宋_GBK"/>
          <w:sz w:val="32"/>
          <w:szCs w:val="32"/>
          <w:lang w:val="en-US" w:eastAsia="zh-CN"/>
        </w:rPr>
        <w:t>6.</w:t>
      </w:r>
      <w:r>
        <w:rPr>
          <w:rFonts w:ascii="Times New Roman" w:hAnsi="Times New Roman" w:eastAsia="方正仿宋_GBK"/>
          <w:sz w:val="32"/>
          <w:szCs w:val="32"/>
        </w:rPr>
        <w:t>负责组织协调全面从严治党、党风廉政建设和反腐败宣传教育工作。</w:t>
      </w:r>
    </w:p>
    <w:p>
      <w:pPr>
        <w:spacing w:line="600" w:lineRule="exact"/>
        <w:ind w:firstLine="640" w:firstLineChars="200"/>
        <w:rPr>
          <w:rFonts w:ascii="Times New Roman" w:hAnsi="Times New Roman" w:eastAsia="方正仿宋_GBK"/>
          <w:sz w:val="32"/>
          <w:szCs w:val="32"/>
        </w:rPr>
      </w:pPr>
      <w:r>
        <w:rPr>
          <w:rFonts w:hint="eastAsia" w:eastAsia="方正仿宋_GBK"/>
          <w:sz w:val="32"/>
          <w:szCs w:val="32"/>
          <w:lang w:val="en-US" w:eastAsia="zh-CN"/>
        </w:rPr>
        <w:t>7.</w:t>
      </w:r>
      <w:r>
        <w:rPr>
          <w:rFonts w:ascii="Times New Roman" w:hAnsi="Times New Roman" w:eastAsia="方正仿宋_GBK"/>
          <w:sz w:val="32"/>
          <w:szCs w:val="32"/>
        </w:rPr>
        <w:t>负责综合分析全面从严治党、党风廉政建设和反腐败工作情况，对纪检监察工作重要理论及实践问题进行调查研究；参与起草纪检监察有关规范性文件。</w:t>
      </w:r>
    </w:p>
    <w:p>
      <w:pPr>
        <w:spacing w:line="600" w:lineRule="exact"/>
        <w:ind w:firstLine="640" w:firstLineChars="200"/>
        <w:rPr>
          <w:rFonts w:ascii="Times New Roman" w:hAnsi="Times New Roman" w:eastAsia="方正仿宋_GBK"/>
          <w:sz w:val="32"/>
          <w:szCs w:val="32"/>
        </w:rPr>
      </w:pPr>
      <w:r>
        <w:rPr>
          <w:rFonts w:hint="eastAsia" w:eastAsia="方正仿宋_GBK"/>
          <w:sz w:val="32"/>
          <w:szCs w:val="32"/>
          <w:lang w:val="en-US" w:eastAsia="zh-CN"/>
        </w:rPr>
        <w:t>8.</w:t>
      </w:r>
      <w:r>
        <w:rPr>
          <w:rFonts w:ascii="Times New Roman" w:hAnsi="Times New Roman" w:eastAsia="方正仿宋_GBK"/>
          <w:sz w:val="32"/>
          <w:szCs w:val="32"/>
        </w:rPr>
        <w:t>负责组织协调全区反腐败追逃追赃和防逃工作，督促有关单位做好相关工作。</w:t>
      </w:r>
    </w:p>
    <w:p>
      <w:pPr>
        <w:spacing w:line="600" w:lineRule="exact"/>
        <w:ind w:firstLine="640" w:firstLineChars="200"/>
        <w:rPr>
          <w:rFonts w:ascii="Times New Roman" w:hAnsi="Times New Roman" w:eastAsia="方正仿宋_GBK"/>
          <w:sz w:val="32"/>
          <w:szCs w:val="32"/>
        </w:rPr>
      </w:pPr>
      <w:r>
        <w:rPr>
          <w:rFonts w:hint="eastAsia" w:eastAsia="方正仿宋_GBK"/>
          <w:sz w:val="32"/>
          <w:szCs w:val="32"/>
          <w:lang w:val="en-US" w:eastAsia="zh-CN"/>
        </w:rPr>
        <w:t>9.</w:t>
      </w:r>
      <w:r>
        <w:rPr>
          <w:rFonts w:ascii="Times New Roman" w:hAnsi="Times New Roman" w:eastAsia="方正仿宋_GBK"/>
          <w:sz w:val="32"/>
          <w:szCs w:val="32"/>
        </w:rPr>
        <w:t>根据干部管理权限，负责全区纪检监察系统领导班子建设、干部队伍建设和组织建设的综合规划、政策研究、制度建设和业务指导；会同区委组织部负责区委巡察机构的科级干部提名、考察，报区委任免；根据干部管理权限负责区委巡察机构股级以下干部人事工作。会同有关方面做好区纪委监委派驻机构、乡镇纪检监察机关、区管企业和区管医院纪检监察机构领导班子建设有关工作；组织和指导全区纪检监察系统干部教育培训工作等。</w:t>
      </w:r>
    </w:p>
    <w:p>
      <w:pPr>
        <w:spacing w:line="600" w:lineRule="exact"/>
        <w:ind w:firstLine="640" w:firstLineChars="200"/>
        <w:rPr>
          <w:rFonts w:hint="eastAsia" w:ascii="Times New Roman" w:hAnsi="Times New Roman" w:eastAsia="方正仿宋_GBK"/>
          <w:sz w:val="32"/>
          <w:szCs w:val="32"/>
        </w:rPr>
      </w:pPr>
      <w:r>
        <w:rPr>
          <w:rFonts w:hint="eastAsia" w:eastAsia="方正仿宋_GBK"/>
          <w:sz w:val="32"/>
          <w:szCs w:val="32"/>
          <w:lang w:val="en-US" w:eastAsia="zh-CN"/>
        </w:rPr>
        <w:t>10.</w:t>
      </w:r>
      <w:r>
        <w:rPr>
          <w:rFonts w:ascii="Times New Roman" w:hAnsi="Times New Roman" w:eastAsia="方正仿宋_GBK"/>
          <w:sz w:val="32"/>
          <w:szCs w:val="32"/>
        </w:rPr>
        <w:t>完成市纪委、市监委、区委交办的其他任务。</w:t>
      </w:r>
    </w:p>
    <w:p>
      <w:pPr>
        <w:spacing w:line="600" w:lineRule="exact"/>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w:t>
      </w:r>
      <w:r>
        <w:rPr>
          <w:rFonts w:hint="eastAsia" w:ascii="方正楷体_GBK" w:hAnsi="方正楷体_GBK" w:eastAsia="方正楷体_GBK" w:cs="方正楷体_GBK"/>
          <w:sz w:val="32"/>
          <w:szCs w:val="32"/>
          <w:lang w:val="en-US" w:eastAsia="zh-CN"/>
        </w:rPr>
        <w:t>二</w:t>
      </w:r>
      <w:r>
        <w:rPr>
          <w:rFonts w:hint="eastAsia" w:ascii="方正楷体_GBK" w:hAnsi="方正楷体_GBK" w:eastAsia="方正楷体_GBK" w:cs="方正楷体_GBK"/>
          <w:sz w:val="32"/>
          <w:szCs w:val="32"/>
        </w:rPr>
        <w:t>）区委巡察工作领导小组办公室主要职责</w:t>
      </w:r>
    </w:p>
    <w:p>
      <w:pPr>
        <w:spacing w:line="600" w:lineRule="exact"/>
        <w:ind w:firstLine="640" w:firstLineChars="200"/>
        <w:rPr>
          <w:rFonts w:hint="eastAsia" w:eastAsia="仿宋_GB2312"/>
          <w:sz w:val="32"/>
          <w:szCs w:val="32"/>
          <w:lang w:eastAsia="zh-CN"/>
        </w:rPr>
      </w:pPr>
      <w:r>
        <w:rPr>
          <w:rFonts w:hint="eastAsia" w:eastAsia="仿宋_GB2312"/>
          <w:sz w:val="32"/>
          <w:szCs w:val="32"/>
          <w:lang w:val="en-US" w:eastAsia="zh-CN"/>
        </w:rPr>
        <w:t>1.</w:t>
      </w:r>
      <w:r>
        <w:rPr>
          <w:rFonts w:eastAsia="仿宋_GB2312"/>
          <w:sz w:val="32"/>
          <w:szCs w:val="32"/>
        </w:rPr>
        <w:t>承担区委巡察工作的综合协调、组织指导、制度建设，及对巡察组的监督管理、服务保障等工作</w:t>
      </w:r>
      <w:r>
        <w:rPr>
          <w:rFonts w:hint="eastAsia" w:eastAsia="仿宋_GB2312"/>
          <w:sz w:val="32"/>
          <w:szCs w:val="32"/>
          <w:lang w:eastAsia="zh-CN"/>
        </w:rPr>
        <w:t>。</w:t>
      </w:r>
    </w:p>
    <w:p>
      <w:pPr>
        <w:spacing w:line="600" w:lineRule="exact"/>
        <w:ind w:firstLine="640" w:firstLineChars="200"/>
        <w:rPr>
          <w:rFonts w:hint="eastAsia" w:eastAsia="仿宋_GB2312"/>
          <w:sz w:val="32"/>
          <w:szCs w:val="32"/>
          <w:lang w:eastAsia="zh-CN"/>
        </w:rPr>
      </w:pPr>
      <w:r>
        <w:rPr>
          <w:rFonts w:hint="eastAsia" w:eastAsia="仿宋_GB2312"/>
          <w:sz w:val="32"/>
          <w:szCs w:val="32"/>
          <w:lang w:val="en-US" w:eastAsia="zh-CN"/>
        </w:rPr>
        <w:t>2.</w:t>
      </w:r>
      <w:r>
        <w:rPr>
          <w:rFonts w:eastAsia="仿宋_GB2312"/>
          <w:sz w:val="32"/>
          <w:szCs w:val="32"/>
        </w:rPr>
        <w:t>贯彻落实区委和区委巡察工作领导小组作出的决策和部署，向区委巡察工作领导小组报告巡察工作情况</w:t>
      </w:r>
      <w:r>
        <w:rPr>
          <w:rFonts w:hint="eastAsia"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sz w:val="32"/>
          <w:szCs w:val="32"/>
          <w:lang w:eastAsia="zh-CN"/>
        </w:rPr>
      </w:pPr>
      <w:r>
        <w:rPr>
          <w:rFonts w:hint="eastAsia" w:eastAsia="仿宋_GB2312"/>
          <w:sz w:val="32"/>
          <w:szCs w:val="32"/>
          <w:lang w:val="en-US" w:eastAsia="zh-CN"/>
        </w:rPr>
        <w:t>3.</w:t>
      </w:r>
      <w:r>
        <w:rPr>
          <w:rFonts w:eastAsia="仿宋_GB2312"/>
          <w:sz w:val="32"/>
          <w:szCs w:val="32"/>
        </w:rPr>
        <w:t>督促本区有关部门和所属乡（镇、街道）做好省委巡视机构和市、区委巡察机构反馈意见的整改落实</w:t>
      </w:r>
      <w:r>
        <w:rPr>
          <w:rFonts w:hint="eastAsia"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sz w:val="32"/>
          <w:szCs w:val="32"/>
          <w:lang w:eastAsia="zh-CN"/>
        </w:rPr>
      </w:pPr>
      <w:r>
        <w:rPr>
          <w:rFonts w:hint="eastAsia" w:eastAsia="仿宋_GB2312"/>
          <w:sz w:val="32"/>
          <w:szCs w:val="32"/>
          <w:lang w:val="en-US" w:eastAsia="zh-CN"/>
        </w:rPr>
        <w:t>4.</w:t>
      </w:r>
      <w:r>
        <w:rPr>
          <w:rFonts w:hint="eastAsia" w:ascii="仿宋_GB2312" w:eastAsia="仿宋_GB2312"/>
          <w:sz w:val="32"/>
          <w:szCs w:val="32"/>
        </w:rPr>
        <w:t>协调配合有关部门</w:t>
      </w:r>
      <w:r>
        <w:rPr>
          <w:rFonts w:eastAsia="仿宋_GB2312"/>
          <w:sz w:val="32"/>
          <w:szCs w:val="32"/>
        </w:rPr>
        <w:t>调配、培训、考核、监督和管理巡察工作人员</w:t>
      </w:r>
      <w:r>
        <w:rPr>
          <w:rFonts w:hint="eastAsia"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sz w:val="32"/>
          <w:szCs w:val="32"/>
          <w:lang w:eastAsia="zh-CN"/>
        </w:rPr>
      </w:pPr>
      <w:r>
        <w:rPr>
          <w:rFonts w:hint="eastAsia" w:eastAsia="仿宋_GB2312"/>
          <w:sz w:val="32"/>
          <w:szCs w:val="32"/>
          <w:lang w:val="en-US" w:eastAsia="zh-CN"/>
        </w:rPr>
        <w:t>5.</w:t>
      </w:r>
      <w:r>
        <w:rPr>
          <w:rFonts w:eastAsia="仿宋_GB2312"/>
          <w:sz w:val="32"/>
          <w:szCs w:val="32"/>
        </w:rPr>
        <w:t>负责与省委巡视工作领导小组办公室、市委巡察工作领导小组办公室的日常联络，承办省委巡视机构和市委巡察机构交办的事项</w:t>
      </w:r>
      <w:r>
        <w:rPr>
          <w:rFonts w:hint="eastAsia"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_GB2312"/>
          <w:sz w:val="32"/>
          <w:szCs w:val="32"/>
        </w:rPr>
      </w:pPr>
      <w:r>
        <w:rPr>
          <w:rFonts w:hint="eastAsia" w:eastAsia="仿宋_GB2312"/>
          <w:sz w:val="32"/>
          <w:szCs w:val="32"/>
          <w:lang w:val="en-US" w:eastAsia="zh-CN"/>
        </w:rPr>
        <w:t>6.</w:t>
      </w:r>
      <w:r>
        <w:rPr>
          <w:rFonts w:eastAsia="仿宋_GB2312"/>
          <w:sz w:val="32"/>
          <w:szCs w:val="32"/>
        </w:rPr>
        <w:t>负责本部门干部日常管理和监督，承办领导交办的其他事项。</w:t>
      </w:r>
    </w:p>
    <w:p>
      <w:pPr>
        <w:pStyle w:val="2"/>
        <w:pageBreakBefore w:val="0"/>
        <w:widowControl w:val="0"/>
        <w:kinsoku/>
        <w:wordWrap/>
        <w:overflowPunct/>
        <w:topLinePunct w:val="0"/>
        <w:autoSpaceDE/>
        <w:autoSpaceDN/>
        <w:bidi w:val="0"/>
        <w:adjustRightInd/>
        <w:snapToGrid/>
        <w:spacing w:before="0" w:after="0" w:line="560" w:lineRule="atLeast"/>
        <w:ind w:firstLine="640" w:firstLineChars="200"/>
        <w:jc w:val="left"/>
        <w:textAlignment w:val="auto"/>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eastAsia="仿宋_GB2312"/>
          <w:sz w:val="32"/>
          <w:szCs w:val="32"/>
        </w:rPr>
      </w:pPr>
      <w:r>
        <w:rPr>
          <w:rFonts w:hint="eastAsia" w:ascii="仿宋" w:hAnsi="仿宋" w:eastAsia="仿宋_GB2312"/>
          <w:sz w:val="32"/>
          <w:szCs w:val="32"/>
        </w:rPr>
        <w:t>按照省市纪检监察机构改革的要求，区纪委机关设置三类内设机构：纪检监察类、监督类、综合保障类。纪检监察类内设机构设第一审查调查室、第二审查调查室、第三审查调查室、第四审查调查室、第五审查调查室、党风政风监督室、</w:t>
      </w:r>
      <w:r>
        <w:rPr>
          <w:rFonts w:hint="eastAsia" w:ascii="仿宋" w:hAnsi="仿宋" w:eastAsia="仿宋_GB2312"/>
          <w:color w:val="000000"/>
          <w:sz w:val="32"/>
          <w:szCs w:val="32"/>
        </w:rPr>
        <w:t>案件审理室</w:t>
      </w:r>
      <w:r>
        <w:rPr>
          <w:rFonts w:hint="eastAsia" w:ascii="仿宋" w:hAnsi="仿宋" w:eastAsia="仿宋_GB2312"/>
          <w:sz w:val="32"/>
          <w:szCs w:val="32"/>
        </w:rPr>
        <w:t>；监督类内设机构设第一监督室、第二监督室</w:t>
      </w:r>
      <w:r>
        <w:rPr>
          <w:rFonts w:hint="eastAsia" w:ascii="仿宋" w:hAnsi="仿宋" w:eastAsia="仿宋_GB2312"/>
          <w:color w:val="000000"/>
          <w:sz w:val="32"/>
          <w:szCs w:val="32"/>
        </w:rPr>
        <w:t>、</w:t>
      </w:r>
      <w:r>
        <w:rPr>
          <w:rFonts w:hint="eastAsia" w:ascii="仿宋" w:hAnsi="仿宋" w:eastAsia="仿宋_GB2312"/>
          <w:sz w:val="32"/>
          <w:szCs w:val="32"/>
        </w:rPr>
        <w:t>第三监督室；综合保障类内设机构设办公室，共11个内设机构；</w:t>
      </w:r>
      <w:r>
        <w:rPr>
          <w:rFonts w:eastAsia="仿宋_GB2312"/>
          <w:sz w:val="32"/>
          <w:szCs w:val="32"/>
        </w:rPr>
        <w:t>设立张家口市万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eastAsia="仿宋_GB2312"/>
          <w:sz w:val="32"/>
          <w:szCs w:val="32"/>
        </w:rPr>
      </w:pPr>
      <w:r>
        <w:rPr>
          <w:rFonts w:eastAsia="仿宋_GB2312"/>
          <w:sz w:val="32"/>
          <w:szCs w:val="32"/>
        </w:rPr>
        <w:t>全区委巡察工作领导小组办公室（以下简称区委巡察办），区委巡察办为区委巡察工作领导小组的日常办事机构，设在区纪委，</w:t>
      </w:r>
      <w:r>
        <w:rPr>
          <w:rFonts w:eastAsia="仿宋_GB2312"/>
          <w:sz w:val="32"/>
          <w:szCs w:val="32"/>
        </w:rPr>
        <w:pict>
          <v:group id="_x0000_s1143" o:spid="_x0000_s1143" o:spt="203" style="position:absolute;left:0pt;margin-left:-74.4pt;margin-top:22.7pt;height:46.7pt;width:245.25pt;mso-position-vertical-relative:page;z-index:251666432;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44" o:spid="_x0000_s1144"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45" o:spid="_x0000_s114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eastAsia="仿宋_GB2312"/>
          <w:sz w:val="32"/>
          <w:szCs w:val="32"/>
        </w:rPr>
        <w:t>机构规格为正科级。</w:t>
      </w:r>
      <w:r>
        <w:rPr>
          <w:rFonts w:hint="eastAsia" w:eastAsia="仿宋_GB2312"/>
          <w:sz w:val="32"/>
          <w:szCs w:val="32"/>
        </w:rPr>
        <w:t>万全区网络舆情监管中心，股级，事业单位。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_GB2312"/>
          <w:sz w:val="32"/>
          <w:szCs w:val="32"/>
        </w:rPr>
      </w:pPr>
      <w:r>
        <w:rPr>
          <w:rFonts w:hint="eastAsia" w:eastAsia="仿宋_GB2312"/>
          <w:sz w:val="32"/>
          <w:szCs w:val="32"/>
        </w:rPr>
        <w:t>附机构设置情况表</w:t>
      </w:r>
    </w:p>
    <w:tbl>
      <w:tblPr>
        <w:tblStyle w:val="13"/>
        <w:tblW w:w="8080"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483"/>
        <w:gridCol w:w="2132"/>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黑体" w:hAnsi="黑体" w:eastAsia="黑体"/>
                <w:sz w:val="24"/>
              </w:rPr>
            </w:pPr>
            <w:r>
              <w:rPr>
                <w:rFonts w:hint="eastAsia" w:ascii="黑体" w:hAnsi="黑体" w:eastAsia="黑体"/>
                <w:sz w:val="24"/>
              </w:rPr>
              <w:t>单位名称</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黑体" w:hAnsi="黑体" w:eastAsia="黑体"/>
                <w:sz w:val="24"/>
              </w:rPr>
            </w:pPr>
            <w:r>
              <w:rPr>
                <w:rFonts w:hint="eastAsia" w:ascii="黑体" w:hAnsi="黑体" w:eastAsia="黑体"/>
                <w:sz w:val="24"/>
              </w:rPr>
              <w:t>单位性质</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黑体" w:hAnsi="黑体" w:eastAsia="黑体"/>
                <w:sz w:val="24"/>
              </w:rPr>
            </w:pPr>
            <w:r>
              <w:rPr>
                <w:rFonts w:hint="eastAsia" w:ascii="黑体" w:hAnsi="黑体" w:eastAsia="黑体"/>
                <w:sz w:val="24"/>
              </w:rPr>
              <w:t>单位规格</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黑体" w:hAnsi="黑体" w:eastAsia="黑体"/>
                <w:sz w:val="24"/>
              </w:rPr>
            </w:pPr>
            <w:r>
              <w:rPr>
                <w:rFonts w:hint="eastAsia" w:ascii="黑体" w:hAnsi="黑体" w:eastAsia="黑体"/>
                <w:sz w:val="24"/>
              </w:rPr>
              <w:t>经费保障形式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18"/>
                <w:szCs w:val="18"/>
              </w:rPr>
            </w:pPr>
            <w:r>
              <w:rPr>
                <w:rFonts w:hint="eastAsia" w:ascii="仿宋_GB2312" w:hAnsi="黑体" w:eastAsia="仿宋_GB2312"/>
                <w:sz w:val="18"/>
                <w:szCs w:val="18"/>
              </w:rPr>
              <w:t>中共张家口市万全区纪委</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副处级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办公室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副科级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第一纪检监察室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副科级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第二纪检监察室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副科级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第三纪检监察室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副科级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第四纪检监察室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副科级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第五纪检监察室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副科级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第一监督室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正科级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第二监督室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正科级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第三监督室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正科级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党风政风监督室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副科级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审理室</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副科级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巡察办</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正科级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巡察一组</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正科级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巡察二组</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正科级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巡察三组</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行政</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正科级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财政拔款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trPr>
        <w:tc>
          <w:tcPr>
            <w:tcW w:w="255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网络舆情监管中心</w:t>
            </w:r>
          </w:p>
        </w:tc>
        <w:tc>
          <w:tcPr>
            <w:tcW w:w="148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事业</w:t>
            </w:r>
          </w:p>
        </w:tc>
        <w:tc>
          <w:tcPr>
            <w:tcW w:w="2132"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24"/>
              </w:rPr>
            </w:pPr>
            <w:r>
              <w:rPr>
                <w:rFonts w:hint="eastAsia" w:ascii="仿宋_GB2312" w:hAnsi="黑体" w:eastAsia="仿宋_GB2312"/>
                <w:sz w:val="24"/>
              </w:rPr>
              <w:t>正股级</w:t>
            </w:r>
          </w:p>
        </w:tc>
        <w:tc>
          <w:tcPr>
            <w:tcW w:w="1913"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_GB2312" w:hAnsi="黑体" w:eastAsia="仿宋_GB2312"/>
                <w:sz w:val="18"/>
                <w:szCs w:val="18"/>
              </w:rPr>
            </w:pPr>
            <w:r>
              <w:rPr>
                <w:rFonts w:hint="eastAsia" w:ascii="仿宋_GB2312" w:hAnsi="黑体" w:eastAsia="仿宋_GB2312"/>
                <w:sz w:val="18"/>
                <w:szCs w:val="18"/>
              </w:rPr>
              <w:t>财政性资金基本保证</w:t>
            </w:r>
          </w:p>
        </w:tc>
      </w:tr>
    </w:tbl>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3059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377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170" o:spid="_x0000_s1170" o:spt="203" style="position:absolute;left:0pt;margin-left:-59.15pt;margin-top:-82.15pt;height:41.2pt;width:243.2pt;mso-position-vertical-relative:page;z-index:251667456;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71"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72"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sz w:val="44"/>
              </w:rPr>
              <w:pict>
                <v:group id="_x0000_s1110" o:spid="_x0000_s1110" o:spt="203" style="position:absolute;left:0pt;margin-left:-53.7pt;margin-top:-78.35pt;height:41.2pt;width:243.2pt;mso-position-vertical-relative:page;z-index:251643904;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1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jc w:val="center"/>
                          </w:pPr>
                          <w:r>
                            <w:rPr>
                              <w:rFonts w:hint="eastAsia" w:ascii="楷体" w:hAnsi="楷体" w:eastAsia="楷体" w:cs="楷体"/>
                              <w:b/>
                              <w:bCs/>
                              <w:color w:val="FDEFBE"/>
                              <w:kern w:val="0"/>
                              <w:sz w:val="32"/>
                              <w:szCs w:val="32"/>
                            </w:rPr>
                            <w:drawing>
                              <wp:inline distT="0" distB="0" distL="0" distR="0">
                                <wp:extent cx="2799715" cy="484505"/>
                                <wp:effectExtent l="19050" t="0" r="635"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6"/>
                                        <a:srcRect/>
                                        <a:stretch>
                                          <a:fillRect/>
                                        </a:stretch>
                                      </pic:blipFill>
                                      <pic:spPr>
                                        <a:xfrm>
                                          <a:off x="0" y="0"/>
                                          <a:ext cx="2799715" cy="484754"/>
                                        </a:xfrm>
                                        <a:prstGeom prst="rect">
                                          <a:avLst/>
                                        </a:prstGeom>
                                        <a:noFill/>
                                        <a:ln w="9525">
                                          <a:noFill/>
                                          <a:miter lim="800000"/>
                                          <a:headEnd/>
                                          <a:tailEnd/>
                                        </a:ln>
                                      </pic:spPr>
                                    </pic:pic>
                                  </a:graphicData>
                                </a:graphic>
                              </wp:inline>
                            </w:drawing>
                          </w: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561．05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449．60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49．53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20．73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29．09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561．05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553．95</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1．65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8．75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562．70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562．70</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335"/>
        <w:gridCol w:w="179"/>
        <w:gridCol w:w="520"/>
        <w:gridCol w:w="1638"/>
        <w:gridCol w:w="213"/>
        <w:gridCol w:w="260"/>
        <w:gridCol w:w="519"/>
        <w:gridCol w:w="296"/>
        <w:gridCol w:w="554"/>
        <w:gridCol w:w="262"/>
        <w:gridCol w:w="589"/>
        <w:gridCol w:w="226"/>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ascii="黑体" w:hAnsi="宋体" w:eastAsia="黑体" w:cs="黑体"/>
                <w:color w:val="000000"/>
                <w:kern w:val="0"/>
                <w:sz w:val="40"/>
                <w:szCs w:val="40"/>
              </w:rPr>
              <w:pict>
                <v:group id="_x0000_s1173" o:spid="_x0000_s1173" o:spt="203" style="position:absolute;left:0pt;margin-left:-82.25pt;margin-top:-89.65pt;height:41.2pt;width:243.2pt;mso-position-vertical-relative:page;z-index:251668480;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74"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75"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收入决</w:t>
            </w:r>
            <w:r>
              <w:rPr>
                <w:sz w:val="44"/>
              </w:rPr>
              <w:pict>
                <v:group id="_x0000_s1107" o:spid="_x0000_s1107" o:spt="203" style="position:absolute;left:0pt;margin-left:-82.75pt;margin-top:-81.1pt;height:41.2pt;width:243.2pt;mso-position-vertical-relative:page;z-index:251644928;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109"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8"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3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67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92"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85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85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668"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63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92"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85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85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668"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67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66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67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92"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561.05</w:t>
            </w:r>
          </w:p>
        </w:tc>
        <w:tc>
          <w:tcPr>
            <w:tcW w:w="85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561.05</w:t>
            </w:r>
          </w:p>
        </w:tc>
        <w:tc>
          <w:tcPr>
            <w:tcW w:w="85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668"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一般公共服务支出</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456.70</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456.70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纪检监察事务</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456.70</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456.70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2011101</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行政运行</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411.19</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411.19</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2011102</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一般行政管理事务</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3.73</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3.73</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2011104</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大案要案查处</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35.78</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35.78</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2011199</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其他纪检监察事务支出</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社会保障和就业支出</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49.53</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49.53</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行政事业单位离退休</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48.32</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48.32</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2080501</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归口管理的行政单位离退休</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11.90</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11.90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机关事业单位基本养老保险缴费支出</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36.42</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36.42</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财政对其他社会保险基金的补助</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2082702</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财政对工伤保险基金的补助</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医疗卫生与计划生育支出</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520"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21012</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财政对基本医疗保险基金的补助</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2101201</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1"/>
                <w:szCs w:val="11"/>
              </w:rPr>
              <w:t>财政对职工基本医疗保险基金的补助</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住房保障支出</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住房改革支出</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住房公积金</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222</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粮油物资储备支出</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22201</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粮油事务</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2220102</w:t>
            </w:r>
          </w:p>
        </w:tc>
        <w:tc>
          <w:tcPr>
            <w:tcW w:w="16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一般行政管理事务</w:t>
            </w:r>
          </w:p>
        </w:tc>
        <w:tc>
          <w:tcPr>
            <w:tcW w:w="992"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74" w:type="dxa"/>
        <w:tblInd w:w="0" w:type="dxa"/>
        <w:tblLayout w:type="fixed"/>
        <w:tblCellMar>
          <w:top w:w="0" w:type="dxa"/>
          <w:left w:w="0" w:type="dxa"/>
          <w:bottom w:w="0" w:type="dxa"/>
          <w:right w:w="0" w:type="dxa"/>
        </w:tblCellMar>
      </w:tblPr>
      <w:tblGrid>
        <w:gridCol w:w="529"/>
        <w:gridCol w:w="491"/>
        <w:gridCol w:w="244"/>
        <w:gridCol w:w="592"/>
        <w:gridCol w:w="1198"/>
        <w:gridCol w:w="1072"/>
        <w:gridCol w:w="992"/>
        <w:gridCol w:w="993"/>
        <w:gridCol w:w="850"/>
        <w:gridCol w:w="457"/>
        <w:gridCol w:w="394"/>
        <w:gridCol w:w="1062"/>
      </w:tblGrid>
      <w:tr>
        <w:tblPrEx>
          <w:tblCellMar>
            <w:top w:w="0" w:type="dxa"/>
            <w:left w:w="0" w:type="dxa"/>
            <w:bottom w:w="0" w:type="dxa"/>
            <w:right w:w="0" w:type="dxa"/>
          </w:tblCellMar>
        </w:tblPrEx>
        <w:trPr>
          <w:trHeight w:val="798" w:hRule="atLeast"/>
        </w:trPr>
        <w:tc>
          <w:tcPr>
            <w:tcW w:w="8874"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ascii="黑体" w:hAnsi="宋体" w:eastAsia="黑体" w:cs="黑体"/>
                <w:color w:val="000000"/>
                <w:kern w:val="0"/>
                <w:sz w:val="40"/>
                <w:szCs w:val="40"/>
              </w:rPr>
              <w:pict>
                <v:group id="_x0000_s1176" o:spid="_x0000_s1176" o:spt="203" style="position:absolute;left:0pt;margin-left:-86.55pt;margin-top:-82.7pt;height:41.2pt;width:243.2pt;mso-position-vertical-relative:page;z-index:25166950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77"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78"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支出决算</w:t>
            </w:r>
            <w:r>
              <w:rPr>
                <w:sz w:val="44"/>
              </w:rPr>
              <w:pict>
                <v:group id="_x0000_s1104" o:spid="_x0000_s1104" o:spt="203" style="position:absolute;left:0pt;margin-left:-80.9pt;margin-top:-81.1pt;height:41.2pt;width:243.2pt;mso-position-vertical-relative:page;z-index:251645952;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10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5"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52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91"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3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9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7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9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9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5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4126"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99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9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913"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80" w:hRule="atLeast"/>
        </w:trPr>
        <w:tc>
          <w:tcPr>
            <w:tcW w:w="305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72"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92"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993"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850"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851"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Cs w:val="21"/>
              </w:rPr>
            </w:pPr>
            <w:r>
              <w:rPr>
                <w:rFonts w:hint="eastAsia" w:ascii="宋体" w:hAnsi="宋体" w:cs="宋体"/>
                <w:color w:val="000000"/>
                <w:kern w:val="0"/>
                <w:szCs w:val="21"/>
              </w:rPr>
              <w:t>经营</w:t>
            </w:r>
          </w:p>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支出</w:t>
            </w:r>
          </w:p>
        </w:tc>
        <w:tc>
          <w:tcPr>
            <w:tcW w:w="1062"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26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72"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2"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3"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50"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51"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62"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3054"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9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6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3054"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553.95</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553.95</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369"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一般公共服务支出</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449.60</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449.60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75"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纪检监察事务</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449.60</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449.60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8"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2011101</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行政运行</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404.08</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404.08</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2011102</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一般行政管理事务</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3.73</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3.73</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05"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2011104</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大案要案查处</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35.78</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35.78</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69"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2011199</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其他纪检监察事务支出</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3"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社会保障和就业支出</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49.53</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49.53</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21"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行政事业单位离退休</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48.32</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48.32</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99"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2080501</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归口管理的行政单位离退休</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11.90</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11.9</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04"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机关事业单位基本养老保险缴费支出</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36.42</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36.42</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34"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财政对其他社会保险基金的补助</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59"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2082702</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财政对工伤保险基金的补助</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64"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医疗卫生与计划生育支出</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55"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21012</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财政对基本医疗保险基金的补助</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17"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2101201</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1"/>
                <w:szCs w:val="11"/>
              </w:rPr>
              <w:t>财政对职工基本医疗保险基金的补助</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66"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住房保障支出</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住房改革支出</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05"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住房公积金</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268"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222</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粮油物资储备支出</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3"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22201</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粮油事务</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07" w:hRule="atLeast"/>
        </w:trPr>
        <w:tc>
          <w:tcPr>
            <w:tcW w:w="126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2220102</w:t>
            </w:r>
          </w:p>
        </w:tc>
        <w:tc>
          <w:tcPr>
            <w:tcW w:w="179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一般行政管理事务</w:t>
            </w:r>
          </w:p>
        </w:tc>
        <w:tc>
          <w:tcPr>
            <w:tcW w:w="107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99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6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8874"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ascii="黑体" w:hAnsi="宋体" w:eastAsia="黑体" w:cs="黑体"/>
                <w:color w:val="000000"/>
                <w:kern w:val="0"/>
                <w:sz w:val="40"/>
                <w:szCs w:val="40"/>
              </w:rPr>
              <w:pict>
                <v:group id="_x0000_s1179" o:spid="_x0000_s1179" o:spt="203" style="position:absolute;left:0pt;margin-left:-86.55pt;margin-top:-84.25pt;height:41.2pt;width:243.2pt;mso-position-vertical-relative:page;z-index:251670528;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80"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8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财政拨款收入支出决</w:t>
            </w:r>
            <w:r>
              <w:rPr>
                <w:sz w:val="44"/>
              </w:rPr>
              <w:pict>
                <v:group id="_x0000_s1101" o:spid="_x0000_s1101" o:spt="203" style="position:absolute;left:0pt;margin-left:-80.9pt;margin-top:-81.1pt;height:41.2pt;width:243.2pt;mso-position-vertical-relative:page;z-index:25164800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103"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2"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561.05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449.60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449.60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49.53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20.73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20.73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29.09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29.09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561.05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553.95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553.95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8.75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8.75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562.70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562.70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562.70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ascii="黑体" w:hAnsi="宋体" w:eastAsia="黑体" w:cs="黑体"/>
                <w:color w:val="000000"/>
                <w:kern w:val="0"/>
                <w:sz w:val="40"/>
                <w:szCs w:val="40"/>
              </w:rPr>
              <w:pict>
                <v:group id="_x0000_s1182" o:spid="_x0000_s1182" o:spt="203" style="position:absolute;left:0pt;margin-left:-80.95pt;margin-top:-85.6pt;height:41.2pt;width:243.2pt;mso-position-vertical-relative:page;z-index:251671552;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83"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84"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一般公共预算财政拨</w:t>
            </w:r>
            <w:r>
              <w:rPr>
                <w:sz w:val="44"/>
              </w:rPr>
              <w:pict>
                <v:group id="_x0000_s1098" o:spid="_x0000_s1098" o:spt="203" style="position:absolute;left:0pt;margin-left:-80.9pt;margin-top:-81.1pt;height:41.2pt;width:243.2pt;mso-position-vertical-relative:page;z-index:25164902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100"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9"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553.95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553.95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449.60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449.60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纪检监察事务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449.60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449.60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404.08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404.08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大案要案查处</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35.78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35.78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2011199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其他纪检监察事务支出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48.32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48.32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归口管理的行政单位离退休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11.90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36.42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财政对其他社会保险基金的补助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2082702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财政对工伤保险基金的补助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1"/>
                <w:szCs w:val="11"/>
              </w:rPr>
            </w:pPr>
            <w:r>
              <w:rPr>
                <w:rFonts w:hint="eastAsia" w:ascii="宋体" w:hAnsi="宋体" w:cs="宋体"/>
                <w:color w:val="000000"/>
                <w:sz w:val="11"/>
                <w:szCs w:val="11"/>
              </w:rPr>
              <w:t>财政对基本医疗保险基金的补助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1"/>
                <w:szCs w:val="11"/>
              </w:rPr>
              <w:t>财政对职工基本医疗保险基金的补助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20.73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29.09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粮油物资储备支出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粮油事务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2220102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5"/>
                <w:szCs w:val="15"/>
              </w:rPr>
            </w:pPr>
            <w:r>
              <w:rPr>
                <w:rFonts w:hint="eastAsia" w:ascii="宋体" w:hAnsi="宋体" w:cs="宋体"/>
                <w:color w:val="000000"/>
                <w:sz w:val="15"/>
                <w:szCs w:val="15"/>
              </w:rPr>
              <w:t>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ascii="黑体" w:hAnsi="宋体" w:eastAsia="黑体" w:cs="黑体"/>
                <w:color w:val="000000"/>
                <w:kern w:val="0"/>
                <w:sz w:val="40"/>
                <w:szCs w:val="40"/>
              </w:rPr>
              <w:pict>
                <v:group id="_x0000_s1185" o:spid="_x0000_s1185" o:spt="203" style="position:absolute;left:0pt;margin-left:-80.15pt;margin-top:-87.05pt;height:41.2pt;width:243.2pt;mso-position-vertical-relative:page;z-index:251672576;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86"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87"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sz w:val="44"/>
              </w:rPr>
              <w:pict>
                <v:group id="_x0000_s1095" o:spid="_x0000_s1095" o:spt="203" style="position:absolute;left:0pt;margin-left:-73.25pt;margin-top:-129.4pt;height:41.2pt;width:243.2pt;mso-position-vertical-relative:page;z-index:251650048;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97"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404.03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120.64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166.87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13.23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135.72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4.37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9.85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15.25</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4.14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15.25</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36.42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13.80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20.73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14.02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29.09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14.03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11.90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3.73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8.93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14.78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38.61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418.06</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135.89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ascii="黑体" w:hAnsi="宋体" w:eastAsia="黑体" w:cs="黑体"/>
                <w:color w:val="000000"/>
                <w:kern w:val="0"/>
                <w:sz w:val="40"/>
                <w:szCs w:val="40"/>
              </w:rPr>
              <w:pict>
                <v:group id="_x0000_s1188" o:spid="_x0000_s1188" o:spt="203" style="position:absolute;left:0pt;margin-left:-82.25pt;margin-top:-86.75pt;height:41.2pt;width:243.2pt;mso-position-vertical-relative:page;z-index:251673600;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89"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90"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一般公共预算财政拨款“</w:t>
            </w:r>
            <w:r>
              <w:rPr>
                <w:sz w:val="44"/>
              </w:rPr>
              <w:pict>
                <v:group id="_x0000_s1092" o:spid="_x0000_s1092" o:spt="203" style="position:absolute;left:0pt;margin-left:-82.75pt;margin-top:-81.1pt;height:41.2pt;width:243.2pt;mso-position-vertical-relative:page;z-index:251651072;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94"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3"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9.03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8.93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8.93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0.1</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9.03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8.93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8.93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0.1</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46"/>
        <w:gridCol w:w="45"/>
        <w:gridCol w:w="163"/>
        <w:gridCol w:w="316"/>
        <w:gridCol w:w="188"/>
        <w:gridCol w:w="274"/>
        <w:gridCol w:w="207"/>
        <w:gridCol w:w="376"/>
        <w:gridCol w:w="311"/>
        <w:gridCol w:w="783"/>
        <w:gridCol w:w="72"/>
        <w:gridCol w:w="180"/>
        <w:gridCol w:w="660"/>
        <w:gridCol w:w="986"/>
        <w:gridCol w:w="205"/>
        <w:gridCol w:w="154"/>
        <w:gridCol w:w="1038"/>
        <w:gridCol w:w="501"/>
        <w:gridCol w:w="691"/>
        <w:gridCol w:w="1208"/>
        <w:gridCol w:w="60"/>
      </w:tblGrid>
      <w:tr>
        <w:tblPrEx>
          <w:tblCellMar>
            <w:top w:w="0" w:type="dxa"/>
            <w:left w:w="0" w:type="dxa"/>
            <w:bottom w:w="0" w:type="dxa"/>
            <w:right w:w="0" w:type="dxa"/>
          </w:tblCellMar>
        </w:tblPrEx>
        <w:trPr>
          <w:trHeight w:val="707" w:hRule="atLeast"/>
        </w:trPr>
        <w:tc>
          <w:tcPr>
            <w:tcW w:w="8860" w:type="dxa"/>
            <w:gridSpan w:val="2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ascii="黑体" w:hAnsi="宋体" w:eastAsia="黑体" w:cs="黑体"/>
                <w:color w:val="000000"/>
                <w:kern w:val="0"/>
                <w:sz w:val="36"/>
                <w:szCs w:val="36"/>
              </w:rPr>
              <w:pict>
                <v:group id="_x0000_s1191" o:spid="_x0000_s1191" o:spt="203" style="position:absolute;left:0pt;margin-left:-80.2pt;margin-top:-85.6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9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93"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政府性基金预算财政拨款</w:t>
            </w:r>
            <w:r>
              <w:rPr>
                <w:sz w:val="44"/>
              </w:rPr>
              <w:pict>
                <v:group id="_x0000_s1089" o:spid="_x0000_s1089" o:spt="203" style="position:absolute;left:0pt;margin-left:-80.9pt;margin-top:-81.1pt;height:41.2pt;width:243.2pt;mso-position-vertical-relative:page;z-index:25165209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91"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0"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4"/>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1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4"/>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5"/>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4"/>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5"/>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9"/>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9"/>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2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r>
              <w:rPr>
                <w:rFonts w:hint="eastAsia" w:ascii="宋体" w:hAnsi="宋体" w:cs="宋体"/>
                <w:color w:val="000000"/>
                <w:kern w:val="0"/>
                <w:sz w:val="22"/>
                <w:szCs w:val="22"/>
              </w:rPr>
              <w:t>注：</w:t>
            </w:r>
            <w:r>
              <w:rPr>
                <w:rFonts w:hint="eastAsia" w:cs="楷体" w:asciiTheme="majorEastAsia" w:hAnsiTheme="majorEastAsia" w:eastAsiaTheme="majorEastAsia"/>
                <w:sz w:val="22"/>
                <w:szCs w:val="22"/>
              </w:rPr>
              <w:t>本部门本年度无相关收入（或支出、收支及结转结余等）情况，按要求空表列示</w:t>
            </w:r>
            <w:r>
              <w:rPr>
                <w:rFonts w:hint="eastAsia" w:cs="宋体" w:asciiTheme="majorEastAsia" w:hAnsiTheme="majorEastAsia" w:eastAsiaTheme="majorEastAsia"/>
                <w:color w:val="000000"/>
                <w:kern w:val="0"/>
                <w:sz w:val="22"/>
                <w:szCs w:val="22"/>
              </w:rPr>
              <w:t xml:space="preserve">  </w:t>
            </w: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cs="宋体" w:asciiTheme="majorEastAsia" w:hAnsiTheme="majorEastAsia" w:eastAsiaTheme="majorEastAsia"/>
                <w:color w:val="000000"/>
                <w:kern w:val="0"/>
                <w:sz w:val="22"/>
                <w:szCs w:val="22"/>
              </w:rPr>
            </w:pPr>
          </w:p>
          <w:p>
            <w:pPr>
              <w:widowControl/>
              <w:adjustRightInd w:val="0"/>
              <w:spacing w:after="0" w:line="240" w:lineRule="auto"/>
              <w:jc w:val="left"/>
              <w:textAlignment w:val="center"/>
              <w:rPr>
                <w:rFonts w:ascii="宋体" w:hAnsi="宋体" w:cs="宋体"/>
                <w:color w:val="000000"/>
                <w:szCs w:val="21"/>
              </w:rPr>
            </w:pPr>
            <w:r>
              <w:rPr>
                <w:rFonts w:hint="eastAsia" w:cs="宋体" w:asciiTheme="majorEastAsia" w:hAnsiTheme="majorEastAsia" w:eastAsiaTheme="majorEastAsia"/>
                <w:color w:val="000000"/>
                <w:kern w:val="0"/>
                <w:sz w:val="22"/>
                <w:szCs w:val="22"/>
              </w:rPr>
              <w:t xml:space="preserve"> </w:t>
            </w:r>
          </w:p>
        </w:tc>
      </w:tr>
      <w:tr>
        <w:tblPrEx>
          <w:tblCellMar>
            <w:top w:w="0" w:type="dxa"/>
            <w:left w:w="0" w:type="dxa"/>
            <w:bottom w:w="0" w:type="dxa"/>
            <w:right w:w="0" w:type="dxa"/>
          </w:tblCellMar>
        </w:tblPrEx>
        <w:trPr>
          <w:gridAfter w:val="1"/>
          <w:wAfter w:w="60" w:type="dxa"/>
          <w:trHeight w:val="656" w:hRule="atLeast"/>
        </w:trPr>
        <w:tc>
          <w:tcPr>
            <w:tcW w:w="8800" w:type="dxa"/>
            <w:gridSpan w:val="2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pict>
                <v:group id="_x0000_s1358" o:spid="_x0000_s1358" o:spt="203" style="position:absolute;left:0pt;margin-left:-86.55pt;margin-top:-86.25pt;height:41.2pt;width:243.2pt;mso-position-vertical-relative:page;z-index:25168793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359"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360"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国有资本经营预算财政拨</w:t>
            </w:r>
            <w:r>
              <w:rPr>
                <w:sz w:val="44"/>
              </w:rPr>
              <w:pict>
                <v:group id="_x0000_s1354" o:spid="_x0000_s1354" o:spt="203" style="position:absolute;left:0pt;margin-left:-80.9pt;margin-top:-81.1pt;height:41.2pt;width:243.2pt;mso-position-vertical-relative:page;z-index:25164697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355"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35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gridAfter w:val="1"/>
          <w:wAfter w:w="60" w:type="dxa"/>
          <w:trHeight w:val="335" w:hRule="atLeast"/>
        </w:trPr>
        <w:tc>
          <w:tcPr>
            <w:tcW w:w="44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gridAfter w:val="1"/>
          <w:wAfter w:w="60" w:type="dxa"/>
          <w:trHeight w:val="335" w:hRule="atLeast"/>
        </w:trPr>
        <w:tc>
          <w:tcPr>
            <w:tcW w:w="3357" w:type="dxa"/>
            <w:gridSpan w:val="1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gridAfter w:val="1"/>
          <w:wAfter w:w="60" w:type="dxa"/>
          <w:trHeight w:val="358" w:hRule="atLeast"/>
        </w:trPr>
        <w:tc>
          <w:tcPr>
            <w:tcW w:w="3105"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10"/>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gridAfter w:val="1"/>
          <w:wAfter w:w="60" w:type="dxa"/>
          <w:trHeight w:val="826" w:hRule="atLeast"/>
        </w:trPr>
        <w:tc>
          <w:tcPr>
            <w:tcW w:w="1428"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gridAfter w:val="1"/>
          <w:wAfter w:w="60" w:type="dxa"/>
          <w:trHeight w:val="358" w:hRule="atLeast"/>
        </w:trPr>
        <w:tc>
          <w:tcPr>
            <w:tcW w:w="3105" w:type="dxa"/>
            <w:gridSpan w:val="11"/>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gridAfter w:val="1"/>
          <w:wAfter w:w="60" w:type="dxa"/>
          <w:trHeight w:val="358" w:hRule="atLeast"/>
        </w:trPr>
        <w:tc>
          <w:tcPr>
            <w:tcW w:w="3105" w:type="dxa"/>
            <w:gridSpan w:val="11"/>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46" w:hRule="atLeast"/>
        </w:trPr>
        <w:tc>
          <w:tcPr>
            <w:tcW w:w="1428"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60" w:type="dxa"/>
          <w:trHeight w:val="358" w:hRule="atLeast"/>
        </w:trPr>
        <w:tc>
          <w:tcPr>
            <w:tcW w:w="8800" w:type="dxa"/>
            <w:gridSpan w:val="2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w:t>
            </w:r>
            <w:r>
              <w:rPr>
                <w:rFonts w:hint="eastAsia" w:cs="楷体" w:asciiTheme="majorEastAsia" w:hAnsiTheme="majorEastAsia" w:eastAsiaTheme="majorEastAsia"/>
                <w:sz w:val="22"/>
                <w:szCs w:val="22"/>
              </w:rPr>
              <w:t>本部门本年度无相关收入（或支出、收支及结转结余等）情况，按要求空表列示</w:t>
            </w:r>
          </w:p>
        </w:tc>
      </w:tr>
    </w:tbl>
    <w:p>
      <w:pPr>
        <w:widowControl/>
        <w:spacing w:after="0" w:line="560" w:lineRule="exact"/>
        <w:ind w:firstLine="600"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仿宋_GB2312" w:hAnsi="楷体" w:eastAsia="仿宋_GB2312" w:cs="楷体"/>
          <w:sz w:val="30"/>
          <w:szCs w:val="30"/>
        </w:rPr>
        <w:t>。</w:t>
      </w: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ascii="黑体" w:hAnsi="宋体" w:eastAsia="黑体" w:cs="黑体"/>
                <w:color w:val="000000"/>
                <w:kern w:val="0"/>
                <w:sz w:val="40"/>
                <w:szCs w:val="40"/>
              </w:rPr>
              <w:pict>
                <v:group id="_x0000_s1293" o:spid="_x0000_s1293" o:spt="203" style="position:absolute;left:0pt;margin-left:-80.95pt;margin-top:-82.5pt;height:41.2pt;width:243.2pt;mso-position-vertical-relative:page;z-index:251675648;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294"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295"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政府采购</w:t>
            </w:r>
            <w:r>
              <w:rPr>
                <w:sz w:val="44"/>
              </w:rPr>
              <w:pict>
                <v:group id="_x0000_s1083" o:spid="_x0000_s1083" o:spt="203" style="position:absolute;left:0pt;margin-left:-80.9pt;margin-top:-81.1pt;height:41.2pt;width:243.2pt;mso-position-vertical-relative:page;z-index:25165312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85"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15.25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3161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387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ascii="黑体" w:eastAsia="黑体"/>
          <w:b w:val="0"/>
          <w:bCs w:val="0"/>
        </w:rPr>
        <w:pict>
          <v:group id="_x0000_s1314" o:spid="_x0000_s1314" o:spt="203" style="position:absolute;left:0pt;margin-left:-7.45pt;margin-top:20.9pt;height:43.95pt;width:301.85pt;mso-position-horizontal-relative:page;mso-position-vertical-relative:page;z-index:25167667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315"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31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6028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ind w:firstLine="640" w:firstLineChars="200"/>
        <w:rPr>
          <w:rFonts w:ascii="仿宋_GB2312" w:hAnsi="仿宋" w:eastAsia="仿宋_GB2312" w:cs="仿宋"/>
          <w:bCs/>
          <w:sz w:val="32"/>
          <w:szCs w:val="32"/>
        </w:rPr>
      </w:pPr>
      <w:r>
        <w:rPr>
          <w:rFonts w:hint="eastAsia" w:ascii="仿宋_GB2312" w:hAnsi="仿宋" w:eastAsia="仿宋_GB2312" w:cs="仿宋"/>
          <w:bCs/>
          <w:sz w:val="32"/>
          <w:szCs w:val="32"/>
        </w:rPr>
        <w:t>本部门2018年度收入总计561.05万元，比2017年度决算613.48万元相比，减少52.43万元，减少 8.55%。2018年度支出总计553.95万元，比2017年决算611.83万元相比，减少57.88万元，减少9.46%。年终结转结余8.75万元。主要原因是认真执行中央“八项规定”，减少各类开支，年中人员调动，工资减少。</w:t>
      </w:r>
    </w:p>
    <w:p>
      <w:pPr>
        <w:pStyle w:val="3"/>
        <w:numPr>
          <w:ilvl w:val="0"/>
          <w:numId w:val="1"/>
        </w:numPr>
        <w:spacing w:before="0" w:after="0" w:line="580" w:lineRule="exact"/>
        <w:rPr>
          <w:rFonts w:ascii="黑体" w:eastAsia="黑体"/>
          <w:b w:val="0"/>
          <w:bCs w:val="0"/>
        </w:rPr>
      </w:pPr>
      <w:r>
        <w:rPr>
          <w:rFonts w:hint="eastAsia" w:ascii="黑体" w:eastAsia="黑体"/>
          <w:b w:val="0"/>
          <w:bCs w:val="0"/>
        </w:rPr>
        <w:t>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本部门2018年度本年收入合计561.05万元，其中：财政拨款收入561.05万元，占100%；事业收入0万元，占0%；经营收入0万元，占0%；其他收入0万元，占0%。如图所示：</w:t>
      </w:r>
    </w:p>
    <w:p>
      <w:pPr>
        <w:adjustRightInd w:val="0"/>
        <w:snapToGrid w:val="0"/>
        <w:spacing w:after="0" w:line="580" w:lineRule="exact"/>
        <w:ind w:firstLine="640" w:firstLineChars="200"/>
        <w:rPr>
          <w:rFonts w:ascii="仿宋_GB2312" w:eastAsia="仿宋_GB2312" w:cs="DengXian-Regular"/>
          <w:sz w:val="32"/>
          <w:szCs w:val="32"/>
        </w:rPr>
      </w:pPr>
    </w:p>
    <w:p>
      <w:pPr>
        <w:ind w:left="2625" w:hanging="2625" w:hangingChars="1250"/>
      </w:pPr>
      <w:r>
        <w:drawing>
          <wp:inline distT="0" distB="0" distL="0" distR="0">
            <wp:extent cx="5173980" cy="2944495"/>
            <wp:effectExtent l="19050" t="0" r="26599" b="8231"/>
            <wp:docPr id="2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hint="eastAsia"/>
        </w:rPr>
        <w:t xml:space="preserve">    </w:t>
      </w:r>
      <w:r>
        <w:rPr>
          <w:rFonts w:hint="eastAsia" w:ascii="仿宋_GB2312" w:eastAsia="仿宋_GB2312" w:cs="DengXian-Regular"/>
          <w:sz w:val="28"/>
          <w:szCs w:val="28"/>
        </w:rPr>
        <w:t>图1：收入构成情况</w:t>
      </w:r>
    </w:p>
    <w:p>
      <w:pPr>
        <w:pStyle w:val="3"/>
        <w:spacing w:before="0" w:after="0" w:line="580" w:lineRule="exact"/>
        <w:ind w:firstLine="640" w:firstLineChars="200"/>
        <w:rPr>
          <w:rFonts w:ascii="黑体" w:eastAsia="黑体"/>
          <w:b w:val="0"/>
          <w:bCs w:val="0"/>
        </w:rPr>
      </w:pPr>
      <w:r>
        <w:rPr>
          <w:rFonts w:ascii="黑体" w:eastAsia="黑体"/>
          <w:b w:val="0"/>
          <w:bCs w:val="0"/>
        </w:rPr>
        <w:pict>
          <v:group id="_x0000_s1317" o:spid="_x0000_s1317" o:spt="203" style="position:absolute;left:0pt;margin-left:-0.55pt;margin-top:24.45pt;height:43.95pt;width:301.85pt;mso-position-horizontal-relative:page;mso-position-vertical-relative:page;z-index:25167769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318"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319"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本部门2018年度本年支出合计553.95万元，其中：基本支出553.95万元，占100%；项目支出0万元，占0%；经营支出0万元，占0%。如图所示：</w:t>
      </w:r>
    </w:p>
    <w:p>
      <w:pPr>
        <w:adjustRightInd w:val="0"/>
        <w:snapToGrid w:val="0"/>
        <w:spacing w:after="0" w:line="580" w:lineRule="exact"/>
        <w:ind w:firstLine="2640" w:firstLineChars="600"/>
        <w:rPr>
          <w:rFonts w:ascii="仿宋_GB2312" w:eastAsia="仿宋_GB2312" w:cs="DengXian-Regular"/>
          <w:sz w:val="32"/>
          <w:szCs w:val="32"/>
        </w:rPr>
      </w:pPr>
      <w:r>
        <w:rPr>
          <w:sz w:val="44"/>
        </w:rPr>
        <w:pict>
          <v:group id="_x0000_s1070" o:spid="_x0000_s1070" o:spt="203" style="position:absolute;left:0pt;margin-left:-0.55pt;margin-top:29.3pt;height:43.95pt;width:301.85pt;mso-position-horizontal-relative:page;mso-position-vertical-relative:page;z-index:251654144;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r>
        <w:drawing>
          <wp:inline distT="0" distB="0" distL="0" distR="0">
            <wp:extent cx="5337810" cy="2440940"/>
            <wp:effectExtent l="19050" t="0" r="15097" b="0"/>
            <wp:docPr id="2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
        <w:rPr>
          <w:rFonts w:hint="eastAsia"/>
        </w:rPr>
        <w:t xml:space="preserve">                   </w:t>
      </w:r>
      <w:r>
        <w:rPr>
          <w:rFonts w:hint="eastAsia" w:ascii="仿宋_GB2312" w:eastAsia="仿宋_GB2312" w:cs="DengXian-Regular"/>
          <w:sz w:val="28"/>
          <w:szCs w:val="28"/>
        </w:rPr>
        <w:t>图2：支出构成情况（按支出性质）</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本部门2018年度形成的财政拨款收支均为一般公共预算财政拨款，其中一般公共预算财政拨款本年收入561.05万元,比2017年度减少52.43万元，降低8.55%，主要是原因</w:t>
      </w:r>
      <w:r>
        <w:rPr>
          <w:rFonts w:hint="eastAsia" w:ascii="仿宋_GB2312" w:hAnsi="仿宋" w:eastAsia="仿宋_GB2312" w:cs="仿宋"/>
          <w:bCs/>
          <w:sz w:val="32"/>
          <w:szCs w:val="32"/>
        </w:rPr>
        <w:t>减少各类开支，人员调动工资减少</w:t>
      </w:r>
      <w:r>
        <w:rPr>
          <w:rFonts w:hint="eastAsia" w:ascii="仿宋_GB2312" w:eastAsia="仿宋_GB2312" w:cs="DengXian-Regular"/>
          <w:sz w:val="32"/>
          <w:szCs w:val="32"/>
        </w:rPr>
        <w:t>；本年支出553.95万元，减少57.88万元，降低9.46%，主要原因是</w:t>
      </w:r>
      <w:r>
        <w:rPr>
          <w:rFonts w:hint="eastAsia" w:ascii="仿宋_GB2312" w:hAnsi="仿宋" w:eastAsia="仿宋_GB2312" w:cs="仿宋"/>
          <w:bCs/>
          <w:sz w:val="32"/>
          <w:szCs w:val="32"/>
        </w:rPr>
        <w:t>减少各类开支，年中人员调动，工资减少</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ascii="楷体_GB2312" w:eastAsia="楷体_GB2312" w:cs="DengXian-Bold"/>
          <w:b/>
          <w:bCs/>
          <w:sz w:val="32"/>
          <w:szCs w:val="32"/>
        </w:rPr>
        <w:pict>
          <v:group id="_x0000_s1320" o:spid="_x0000_s1320" o:spt="203" style="position:absolute;left:0pt;margin-left:0.35pt;margin-top:22.6pt;height:43.95pt;width:301.85pt;mso-position-horizontal-relative:page;mso-position-vertical-relative:page;z-index:25167872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32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322"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561.05万元，完成年初预算的100%,比年初预算增加7.15万元，决算数大于预算数主要原因是年初预算标准调整；本年支出553.95万元，完成年初预算的100%,比年初预算持平，主要原因是严格执行各项财务制度，减少开支。</w: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34688" behindDoc="0" locked="0" layoutInCell="1" allowOverlap="1">
            <wp:simplePos x="0" y="0"/>
            <wp:positionH relativeFrom="column">
              <wp:posOffset>492125</wp:posOffset>
            </wp:positionH>
            <wp:positionV relativeFrom="paragraph">
              <wp:posOffset>1943735</wp:posOffset>
            </wp:positionV>
            <wp:extent cx="4346575" cy="2282825"/>
            <wp:effectExtent l="19050" t="0" r="0" b="0"/>
            <wp:wrapTopAndBottom/>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9" cstate="print"/>
                    <a:srcRect/>
                    <a:stretch>
                      <a:fillRect/>
                    </a:stretch>
                  </pic:blipFill>
                  <pic:spPr>
                    <a:xfrm>
                      <a:off x="0" y="0"/>
                      <a:ext cx="4346575" cy="2282825"/>
                    </a:xfrm>
                    <a:prstGeom prst="rect">
                      <a:avLst/>
                    </a:prstGeom>
                    <a:noFill/>
                  </pic:spPr>
                </pic:pic>
              </a:graphicData>
            </a:graphic>
          </wp:anchor>
        </w:drawing>
      </w:r>
      <w:r>
        <w:rPr>
          <w:rFonts w:hint="eastAsia" w:ascii="仿宋_GB2312" w:eastAsia="仿宋_GB2312" w:cs="DengXian-Regular"/>
          <w:sz w:val="32"/>
          <w:szCs w:val="32"/>
        </w:rPr>
        <w:t>2018 年度财政拨款支出553.95万元，主要用于以下方面：一般公共服务（1类）支出449.60万元，占81.17%；</w:t>
      </w:r>
      <w:r>
        <w:rPr>
          <w:rFonts w:hint="eastAsia" w:ascii="仿宋_GB2312" w:hAnsi="仿宋" w:eastAsia="仿宋_GB2312" w:cs="仿宋_GB2312"/>
          <w:sz w:val="32"/>
          <w:szCs w:val="32"/>
        </w:rPr>
        <w:t>医疗卫生与计划生育（2类）支出20.73万元，占</w:t>
      </w:r>
      <w:r>
        <w:rPr>
          <w:rFonts w:ascii="仿宋_GB2312" w:hAnsi="仿宋" w:eastAsia="仿宋_GB2312" w:cs="仿宋_GB2312"/>
          <w:sz w:val="32"/>
          <w:szCs w:val="32"/>
        </w:rPr>
        <w:t>3.</w:t>
      </w:r>
      <w:r>
        <w:rPr>
          <w:rFonts w:hint="eastAsia" w:ascii="仿宋_GB2312" w:hAnsi="仿宋" w:eastAsia="仿宋_GB2312" w:cs="仿宋_GB2312"/>
          <w:sz w:val="32"/>
          <w:szCs w:val="32"/>
        </w:rPr>
        <w:t>74</w:t>
      </w:r>
      <w:r>
        <w:rPr>
          <w:rFonts w:ascii="仿宋_GB2312" w:hAnsi="仿宋" w:eastAsia="仿宋_GB2312" w:cs="仿宋_GB2312"/>
          <w:sz w:val="32"/>
          <w:szCs w:val="32"/>
        </w:rPr>
        <w:t>%</w:t>
      </w:r>
      <w:r>
        <w:rPr>
          <w:rFonts w:hint="eastAsia" w:ascii="仿宋_GB2312" w:hAnsi="仿宋" w:eastAsia="仿宋_GB2312" w:cs="仿宋_GB2312"/>
          <w:sz w:val="32"/>
          <w:szCs w:val="32"/>
        </w:rPr>
        <w:t>；</w:t>
      </w:r>
      <w:r>
        <w:rPr>
          <w:rFonts w:hint="eastAsia" w:ascii="仿宋_GB2312" w:eastAsia="仿宋_GB2312" w:cs="DengXian-Regular"/>
          <w:sz w:val="32"/>
          <w:szCs w:val="32"/>
        </w:rPr>
        <w:t>社会保障和就业（3类）支出 49.53万元，占8.94%；住房保障（4类）支出29.09万元，占 5.25%。</w:t>
      </w:r>
    </w:p>
    <w:p>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rPr>
        <w:t xml:space="preserve">           </w:t>
      </w:r>
      <w:r>
        <w:rPr>
          <w:rFonts w:hint="eastAsia" w:ascii="仿宋_GB2312" w:eastAsia="仿宋_GB2312" w:cs="DengXian-Regular"/>
          <w:sz w:val="28"/>
          <w:szCs w:val="28"/>
        </w:rPr>
        <w:t>图5：财政拨款支出决算结构（按功能分类）</w:t>
      </w:r>
    </w:p>
    <w:p>
      <w:p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5516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年度一般公共预算财政拨款基本支出553.95万元，其</w:t>
      </w:r>
      <w:r>
        <w:rPr>
          <w:rFonts w:ascii="仿宋_GB2312" w:eastAsia="仿宋_GB2312" w:cs="DengXian-Regular"/>
          <w:sz w:val="32"/>
          <w:szCs w:val="32"/>
        </w:rPr>
        <w:pict>
          <v:group id="_x0000_s1323" o:spid="_x0000_s1323" o:spt="203" style="position:absolute;left:0pt;margin-left:-7.45pt;margin-top:25.15pt;height:43.95pt;width:301.85pt;mso-position-horizontal-relative:page;mso-position-vertical-relative:page;z-index:25167974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324"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325"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中：人员经费418.06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135.89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“三公”经费支出共计9.03万元，</w:t>
      </w:r>
      <w:r>
        <w:rPr>
          <w:rFonts w:hint="eastAsia" w:ascii="仿宋_GB2312" w:eastAsia="仿宋_GB2312" w:cs="DengXian-Regular"/>
          <w:bCs/>
          <w:sz w:val="32"/>
          <w:szCs w:val="32"/>
        </w:rPr>
        <w:t>较年初预算持平，无增减变化。</w:t>
      </w:r>
      <w:r>
        <w:rPr>
          <w:rFonts w:hint="eastAsia" w:ascii="仿宋_GB2312" w:hAnsi="仿宋" w:eastAsia="仿宋_GB2312" w:cs="仿宋"/>
          <w:color w:val="000000"/>
          <w:sz w:val="32"/>
          <w:szCs w:val="32"/>
        </w:rPr>
        <w:t>原因为</w:t>
      </w:r>
      <w:r>
        <w:rPr>
          <w:rFonts w:hint="eastAsia" w:ascii="仿宋_GB2312" w:hAnsi="仿宋" w:eastAsia="仿宋_GB2312" w:cs="仿宋"/>
          <w:bCs/>
          <w:sz w:val="32"/>
          <w:szCs w:val="32"/>
        </w:rPr>
        <w:t>认真</w:t>
      </w:r>
      <w:r>
        <w:rPr>
          <w:rFonts w:hint="eastAsia" w:ascii="仿宋_GB2312" w:eastAsia="仿宋_GB2312" w:cs="DengXian-Regular"/>
          <w:sz w:val="32"/>
          <w:szCs w:val="32"/>
        </w:rPr>
        <w:t>贯彻落实</w:t>
      </w:r>
      <w:r>
        <w:rPr>
          <w:rFonts w:hint="eastAsia" w:ascii="仿宋_GB2312" w:hAnsi="仿宋" w:eastAsia="仿宋_GB2312" w:cs="仿宋"/>
          <w:bCs/>
          <w:sz w:val="32"/>
          <w:szCs w:val="32"/>
        </w:rPr>
        <w:t>中央“八项规定”，减少各类开支，</w:t>
      </w:r>
      <w:r>
        <w:rPr>
          <w:rFonts w:hint="eastAsia" w:ascii="仿宋_GB2312" w:eastAsia="仿宋_GB2312"/>
          <w:sz w:val="32"/>
          <w:szCs w:val="32"/>
        </w:rPr>
        <w:t>减少各类案件外出调查取证次数，</w:t>
      </w:r>
      <w:r>
        <w:rPr>
          <w:rFonts w:hint="eastAsia" w:ascii="仿宋_GB2312" w:eastAsia="仿宋_GB2312" w:cs="DengXian-Regular"/>
          <w:sz w:val="32"/>
          <w:szCs w:val="32"/>
        </w:rPr>
        <w:t>从严控制“三公”经费开支。具体情况如下：</w:t>
      </w:r>
    </w:p>
    <w:p>
      <w:pPr>
        <w:ind w:firstLine="643" w:firstLineChars="200"/>
        <w:rPr>
          <w:rFonts w:ascii="仿宋_GB2312" w:eastAsia="仿宋_GB2312"/>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5619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本部门2018年度因公出国（境）团组0个、共0人/参加其他单位组织的因公出国</w:t>
      </w:r>
      <w:r>
        <w:rPr>
          <w:rFonts w:ascii="仿宋_GB2312" w:eastAsia="仿宋_GB2312" w:cs="DengXian-Regular"/>
          <w:sz w:val="32"/>
          <w:szCs w:val="32"/>
        </w:rPr>
        <w:pict>
          <v:group id="_x0000_s1326" o:spid="_x0000_s1326" o:spt="203" style="position:absolute;left:0pt;margin-left:-0.55pt;margin-top:25pt;height:43.95pt;width:301.85pt;mso-position-horizontal-relative:page;mso-position-vertical-relative:page;z-index:25168076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327"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328"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（境）团组0个、共0人/无本单位组织的出国（境）团组。因公出国（境）费支出较年初预算增加（减少）0万元，增长（降低）0%,</w:t>
      </w:r>
      <w:r>
        <w:rPr>
          <w:rFonts w:hint="eastAsia" w:ascii="仿宋_GB2312" w:eastAsia="仿宋_GB2312" w:cs="仿宋_GB2312"/>
          <w:sz w:val="32"/>
          <w:szCs w:val="32"/>
        </w:rPr>
        <w:t>不存在出国（境）外接待批次、人次。</w:t>
      </w:r>
      <w:r>
        <w:rPr>
          <w:rFonts w:hint="eastAsia" w:ascii="仿宋_GB2312" w:eastAsia="仿宋_GB2312"/>
          <w:sz w:val="32"/>
          <w:szCs w:val="32"/>
        </w:rPr>
        <w:t>因公出国（境）费与上年持平，无增减变化。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（二）公务用车购置及运行维护费支出8.93万元。</w:t>
      </w:r>
      <w:r>
        <w:rPr>
          <w:rFonts w:hint="eastAsia" w:ascii="仿宋_GB2312" w:eastAsia="仿宋_GB2312" w:cs="DengXian-Regular"/>
          <w:sz w:val="32"/>
          <w:szCs w:val="32"/>
        </w:rPr>
        <w:t>本部门2018年度公务用车购置及运行维护费较年初预算减少0.07万元，降低0.8%,主要是</w:t>
      </w:r>
      <w:r>
        <w:rPr>
          <w:rFonts w:hint="eastAsia" w:ascii="仿宋_GB2312" w:eastAsia="仿宋_GB2312"/>
          <w:sz w:val="32"/>
          <w:szCs w:val="32"/>
        </w:rPr>
        <w:t>减少原因为严格执行中央“八项规定”， 减少办案外出取证次数，降低费用支出。</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本部门2018年度公务用车购置量0辆，未发生公务用车购置，经费支出与年初预算</w:t>
      </w:r>
      <w:r>
        <w:rPr>
          <w:rFonts w:hint="eastAsia" w:ascii="仿宋_GB2312" w:eastAsia="仿宋_GB2312"/>
          <w:sz w:val="32"/>
          <w:szCs w:val="32"/>
        </w:rPr>
        <w:t>持平，无增减变化。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本部门2018年度单位公务用车保有量7辆。公车运行维护费支出与年初预算持平，</w:t>
      </w:r>
      <w:r>
        <w:rPr>
          <w:rFonts w:hint="eastAsia" w:ascii="仿宋_GB2312" w:eastAsia="仿宋_GB2312"/>
          <w:sz w:val="32"/>
          <w:szCs w:val="32"/>
        </w:rPr>
        <w:t>无增减变化，</w:t>
      </w:r>
      <w:r>
        <w:rPr>
          <w:rFonts w:hint="eastAsia" w:ascii="仿宋_GB2312" w:eastAsia="仿宋_GB2312" w:cs="DengXian-Regular"/>
          <w:sz w:val="32"/>
          <w:szCs w:val="32"/>
        </w:rPr>
        <w:t>主要原因是</w:t>
      </w:r>
      <w:r>
        <w:rPr>
          <w:rFonts w:hint="eastAsia" w:ascii="仿宋_GB2312" w:eastAsia="仿宋_GB2312"/>
          <w:sz w:val="32"/>
          <w:szCs w:val="32"/>
        </w:rPr>
        <w:t>严格执行中央“八项规定”， 减少办案外出取证次数，降低费用支出</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（三）公务接待费支出0.10万元。</w:t>
      </w:r>
      <w:r>
        <w:rPr>
          <w:sz w:val="44"/>
        </w:rPr>
        <w:pict>
          <v:group id="_x0000_s1043" o:spid="_x0000_s1043" o:spt="203" style="position:absolute;left:0pt;margin-left:-0.55pt;margin-top:29.3pt;height:43.95pt;width:301.85pt;mso-position-horizontal-relative:page;mso-position-vertical-relative:page;z-index:25165721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本部门2018年度公务接待共4批次、33人次。公务接待费支出与年初预算持平，</w:t>
      </w:r>
      <w:r>
        <w:rPr>
          <w:rFonts w:hint="eastAsia" w:ascii="仿宋_GB2312" w:eastAsia="仿宋_GB2312"/>
          <w:sz w:val="32"/>
          <w:szCs w:val="32"/>
        </w:rPr>
        <w:t>无增减变化，</w:t>
      </w:r>
      <w:r>
        <w:rPr>
          <w:rFonts w:hint="eastAsia" w:ascii="仿宋_GB2312" w:eastAsia="仿宋_GB2312" w:cs="DengXian-Regular"/>
          <w:sz w:val="32"/>
          <w:szCs w:val="32"/>
        </w:rPr>
        <w:t>主要</w:t>
      </w:r>
      <w:r>
        <w:rPr>
          <w:rFonts w:hint="eastAsia" w:ascii="仿宋_GB2312" w:eastAsia="仿宋_GB2312"/>
          <w:sz w:val="32"/>
          <w:szCs w:val="32"/>
        </w:rPr>
        <w:t>原因是严格执行中央“八项规定”， 减少外出办案取证次数，上级检查用餐减少</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spacing w:line="600" w:lineRule="exact"/>
        <w:ind w:firstLine="640" w:firstLineChars="200"/>
        <w:rPr>
          <w:rFonts w:ascii="仿宋_GB2312" w:hAnsi="宋体" w:eastAsia="仿宋_GB2312" w:cs="仿宋_GB2312"/>
          <w:sz w:val="32"/>
          <w:szCs w:val="32"/>
        </w:rPr>
      </w:pPr>
      <w:r>
        <w:rPr>
          <w:rFonts w:hint="eastAsia" w:ascii="仿宋_GB2312" w:eastAsia="仿宋_GB2312" w:cs="DengXian-Regular"/>
          <w:sz w:val="32"/>
          <w:szCs w:val="32"/>
        </w:rPr>
        <w:t>（一）预算绩效管理工作开展情况。</w:t>
      </w:r>
    </w:p>
    <w:p>
      <w:pPr>
        <w:spacing w:line="60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sz w:val="32"/>
          <w:szCs w:val="32"/>
        </w:rPr>
        <w:t>深入学习贯彻党的十九大精神</w:t>
      </w:r>
      <w:r>
        <w:rPr>
          <w:rFonts w:ascii="仿宋_GB2312" w:hAnsi="宋体" w:eastAsia="仿宋_GB2312" w:cs="仿宋_GB2312"/>
          <w:sz w:val="32"/>
          <w:szCs w:val="32"/>
        </w:rPr>
        <w:t>,</w:t>
      </w:r>
      <w:r>
        <w:rPr>
          <w:rFonts w:ascii="仿宋_GB2312" w:hAnsi="宋体" w:eastAsia="仿宋_GB2312" w:cs="仿宋_GB2312"/>
          <w:kern w:val="0"/>
          <w:sz w:val="32"/>
          <w:szCs w:val="32"/>
        </w:rPr>
        <w:t xml:space="preserve"> </w:t>
      </w:r>
      <w:r>
        <w:rPr>
          <w:rFonts w:hint="eastAsia" w:ascii="仿宋_GB2312" w:hAnsi="宋体" w:eastAsia="仿宋_GB2312" w:cs="仿宋_GB2312"/>
          <w:kern w:val="0"/>
          <w:sz w:val="32"/>
          <w:szCs w:val="32"/>
        </w:rPr>
        <w:t>始终始终坚持把预算绩效</w:t>
      </w:r>
      <w:r>
        <w:rPr>
          <w:rFonts w:ascii="仿宋_GB2312" w:hAnsi="宋体" w:eastAsia="仿宋_GB2312" w:cs="仿宋_GB2312"/>
          <w:kern w:val="0"/>
          <w:sz w:val="32"/>
          <w:szCs w:val="32"/>
        </w:rPr>
        <w:pict>
          <v:group id="_x0000_s1329" o:spid="_x0000_s1329" o:spt="203" style="position:absolute;left:0pt;margin-left:-0.8pt;margin-top:22.3pt;height:43.95pt;width:301.85pt;mso-position-horizontal-relative:page;mso-position-vertical-relative:page;z-index:25168179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330"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331"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hAnsi="宋体" w:eastAsia="仿宋_GB2312" w:cs="仿宋_GB2312"/>
          <w:kern w:val="0"/>
          <w:sz w:val="32"/>
          <w:szCs w:val="32"/>
        </w:rPr>
        <w:t>管理作为一项重点工作来抓，强化绩效管理理念，牢固树立</w:t>
      </w:r>
      <w:r>
        <w:rPr>
          <w:rFonts w:hint="eastAsia" w:ascii="仿宋_GB2312" w:eastAsia="仿宋_GB2312" w:cs="仿宋_GB2312"/>
          <w:kern w:val="0"/>
          <w:sz w:val="32"/>
          <w:szCs w:val="32"/>
        </w:rPr>
        <w:t>“</w:t>
      </w:r>
      <w:r>
        <w:rPr>
          <w:rFonts w:hint="eastAsia" w:ascii="仿宋_GB2312" w:hAnsi="宋体" w:eastAsia="仿宋_GB2312" w:cs="仿宋_GB2312"/>
          <w:kern w:val="0"/>
          <w:sz w:val="32"/>
          <w:szCs w:val="32"/>
        </w:rPr>
        <w:t>四个自信</w:t>
      </w:r>
      <w:r>
        <w:rPr>
          <w:rFonts w:hint="eastAsia" w:ascii="仿宋_GB2312" w:eastAsia="仿宋_GB2312" w:cs="仿宋_GB2312"/>
          <w:kern w:val="0"/>
          <w:sz w:val="32"/>
          <w:szCs w:val="32"/>
        </w:rPr>
        <w:t>”</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积极发挥职能作用</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营造风清气正、干事创业的工作氛围。通过实施以结果为导向、以绩效提高为目标的一系列管理措施，有效提高了财政资金使用效益。</w:t>
      </w:r>
    </w:p>
    <w:p>
      <w:pPr>
        <w:spacing w:line="600" w:lineRule="exact"/>
        <w:ind w:firstLine="640" w:firstLineChars="200"/>
        <w:rPr>
          <w:rFonts w:ascii="仿宋_GB2312" w:hAnsi="宋体" w:eastAsia="仿宋_GB2312"/>
          <w:kern w:val="0"/>
          <w:sz w:val="32"/>
          <w:szCs w:val="32"/>
        </w:rPr>
      </w:pPr>
      <w:r>
        <w:rPr>
          <w:rFonts w:hint="eastAsia" w:ascii="仿宋_GB2312" w:eastAsia="仿宋_GB2312" w:cs="DengXian-Regular"/>
          <w:sz w:val="32"/>
          <w:szCs w:val="32"/>
        </w:rPr>
        <w:t>（二）项目绩效自评结果。</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办案问责方面</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1</w:t>
      </w:r>
      <w:r>
        <w:rPr>
          <w:rFonts w:hint="eastAsia" w:ascii="仿宋_GB2312" w:eastAsia="仿宋_GB2312" w:cs="仿宋_GB2312"/>
          <w:sz w:val="32"/>
          <w:szCs w:val="32"/>
          <w:lang w:eastAsia="zh-CN"/>
        </w:rPr>
        <w:t>）</w:t>
      </w:r>
      <w:r>
        <w:rPr>
          <w:rFonts w:hint="eastAsia" w:ascii="仿宋_GB2312" w:eastAsia="仿宋_GB2312" w:cs="仿宋_GB2312"/>
          <w:sz w:val="32"/>
          <w:szCs w:val="32"/>
        </w:rPr>
        <w:t>受理信访、举报，集中管理问题线索、组织协调案件查办，调查、审查违纪违法案件，对案件审理提出处理意见。</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2</w:t>
      </w:r>
      <w:r>
        <w:rPr>
          <w:rFonts w:hint="eastAsia" w:ascii="仿宋_GB2312" w:eastAsia="仿宋_GB2312" w:cs="仿宋_GB2312"/>
          <w:sz w:val="32"/>
          <w:szCs w:val="32"/>
          <w:lang w:eastAsia="zh-CN"/>
        </w:rPr>
        <w:t>）</w:t>
      </w:r>
      <w:r>
        <w:rPr>
          <w:rFonts w:hint="eastAsia" w:ascii="仿宋_GB2312" w:eastAsia="仿宋_GB2312" w:cs="仿宋_GB2312"/>
          <w:sz w:val="32"/>
          <w:szCs w:val="32"/>
        </w:rPr>
        <w:t>组织协调案件查办工作，对有关对象违反党纪政纪和违纪违法行为进行处理，办案结案率</w:t>
      </w:r>
      <w:r>
        <w:rPr>
          <w:rFonts w:ascii="仿宋_GB2312" w:eastAsia="仿宋_GB2312" w:cs="仿宋_GB2312"/>
          <w:sz w:val="32"/>
          <w:szCs w:val="32"/>
        </w:rPr>
        <w:t>100%</w:t>
      </w:r>
      <w:r>
        <w:rPr>
          <w:rFonts w:hint="eastAsia" w:ascii="仿宋_GB2312" w:eastAsia="仿宋_GB2312" w:cs="仿宋_GB2312"/>
          <w:sz w:val="32"/>
          <w:szCs w:val="32"/>
        </w:rPr>
        <w:t>。</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3</w:t>
      </w:r>
      <w:r>
        <w:rPr>
          <w:rFonts w:hint="eastAsia" w:ascii="仿宋_GB2312" w:eastAsia="仿宋_GB2312" w:cs="仿宋_GB2312"/>
          <w:sz w:val="32"/>
          <w:szCs w:val="32"/>
          <w:lang w:eastAsia="zh-CN"/>
        </w:rPr>
        <w:t>）</w:t>
      </w:r>
      <w:r>
        <w:rPr>
          <w:rFonts w:hint="eastAsia" w:ascii="仿宋_GB2312" w:eastAsia="仿宋_GB2312" w:cs="仿宋_GB2312"/>
          <w:sz w:val="32"/>
          <w:szCs w:val="32"/>
        </w:rPr>
        <w:t>维护党纪国法尊严，坚决惩处腐败分子，有效遏制腐败现象</w:t>
      </w:r>
      <w:r>
        <w:rPr>
          <w:rFonts w:ascii="仿宋_GB2312" w:eastAsia="仿宋_GB2312" w:cs="仿宋_GB2312"/>
          <w:sz w:val="32"/>
          <w:szCs w:val="32"/>
        </w:rPr>
        <w:t>,</w:t>
      </w:r>
      <w:r>
        <w:rPr>
          <w:rFonts w:hint="eastAsia" w:ascii="仿宋_GB2312" w:eastAsia="仿宋_GB2312" w:cs="仿宋_GB2312"/>
          <w:sz w:val="32"/>
          <w:szCs w:val="32"/>
        </w:rPr>
        <w:t>办案结案率</w:t>
      </w:r>
      <w:r>
        <w:rPr>
          <w:rFonts w:ascii="仿宋_GB2312" w:eastAsia="仿宋_GB2312" w:cs="仿宋_GB2312"/>
          <w:sz w:val="32"/>
          <w:szCs w:val="32"/>
        </w:rPr>
        <w:t>100%</w:t>
      </w:r>
      <w:r>
        <w:rPr>
          <w:rFonts w:hint="eastAsia" w:ascii="仿宋_GB2312" w:eastAsia="仿宋_GB2312" w:cs="仿宋_GB2312"/>
          <w:sz w:val="32"/>
          <w:szCs w:val="32"/>
        </w:rPr>
        <w:t>。</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val="en-US" w:eastAsia="zh-CN"/>
        </w:rPr>
        <w:t>2、</w:t>
      </w:r>
      <w:r>
        <w:rPr>
          <w:rFonts w:hint="eastAsia" w:ascii="仿宋_GB2312" w:eastAsia="仿宋_GB2312" w:cs="仿宋_GB2312"/>
          <w:sz w:val="32"/>
          <w:szCs w:val="32"/>
        </w:rPr>
        <w:t>党风廉政建设方面</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1</w:t>
      </w:r>
      <w:r>
        <w:rPr>
          <w:rFonts w:hint="eastAsia" w:ascii="仿宋_GB2312" w:eastAsia="仿宋_GB2312" w:cs="仿宋_GB2312"/>
          <w:sz w:val="32"/>
          <w:szCs w:val="32"/>
          <w:lang w:eastAsia="zh-CN"/>
        </w:rPr>
        <w:t>）</w:t>
      </w:r>
      <w:r>
        <w:rPr>
          <w:rFonts w:hint="eastAsia" w:ascii="仿宋_GB2312" w:eastAsia="仿宋_GB2312" w:cs="仿宋_GB2312"/>
          <w:sz w:val="32"/>
          <w:szCs w:val="32"/>
        </w:rPr>
        <w:t>组织协调全区党风廉政建设和反腐败宣传教育工作，开展对党员、公务员的廉洁自律教育。承担区委惩治和预防腐败体系领导小组办公室日常工作。</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2</w:t>
      </w:r>
      <w:r>
        <w:rPr>
          <w:rFonts w:hint="eastAsia" w:ascii="仿宋_GB2312" w:eastAsia="仿宋_GB2312" w:cs="仿宋_GB2312"/>
          <w:sz w:val="32"/>
          <w:szCs w:val="32"/>
          <w:lang w:eastAsia="zh-CN"/>
        </w:rPr>
        <w:t>）</w:t>
      </w:r>
      <w:r>
        <w:rPr>
          <w:rFonts w:hint="eastAsia" w:ascii="仿宋_GB2312" w:eastAsia="仿宋_GB2312" w:cs="仿宋_GB2312"/>
          <w:sz w:val="32"/>
          <w:szCs w:val="32"/>
        </w:rPr>
        <w:t>积极发挥职能作用，加强党风廉政建设，营造风清气正、干事创业的工作氛围。</w:t>
      </w:r>
    </w:p>
    <w:p>
      <w:pPr>
        <w:spacing w:line="600" w:lineRule="exact"/>
        <w:ind w:firstLine="560"/>
        <w:rPr>
          <w:rFonts w:ascii="仿宋_GB2312" w:eastAsia="仿宋_GB2312"/>
          <w:sz w:val="32"/>
          <w:szCs w:val="32"/>
        </w:rPr>
      </w:pPr>
      <w:r>
        <w:rPr>
          <w:rFonts w:hint="default" w:ascii="仿宋_GB2312" w:eastAsia="仿宋_GB2312" w:cs="仿宋_GB2312"/>
          <w:sz w:val="32"/>
          <w:szCs w:val="32"/>
          <w:lang w:val="en-US"/>
        </w:rPr>
        <w:pict>
          <v:group id="_x0000_s1332" o:spid="_x0000_s1332" o:spt="203" style="position:absolute;left:0pt;margin-left:-0.75pt;margin-top:34.3pt;height:43.95pt;width:301.85pt;mso-position-horizontal-relative:page;mso-position-vertical-relative:page;z-index:25168281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333"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334"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监督检查</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1</w:t>
      </w:r>
      <w:r>
        <w:rPr>
          <w:rFonts w:hint="eastAsia" w:ascii="仿宋_GB2312" w:eastAsia="仿宋_GB2312" w:cs="仿宋_GB2312"/>
          <w:sz w:val="32"/>
          <w:szCs w:val="32"/>
          <w:lang w:eastAsia="zh-CN"/>
        </w:rPr>
        <w:t>）</w:t>
      </w:r>
      <w:r>
        <w:rPr>
          <w:rFonts w:hint="eastAsia" w:ascii="仿宋_GB2312" w:eastAsia="仿宋_GB2312" w:cs="仿宋_GB2312"/>
          <w:sz w:val="32"/>
          <w:szCs w:val="32"/>
        </w:rPr>
        <w:t>监督检查党内法规政策、国家法律法规、党风廉政建设等执行情况；贯彻落实区委有关部署，开展常态化全覆盖督查，加大问责力度，促进“两个责任”有效落实。</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2</w:t>
      </w:r>
      <w:r>
        <w:rPr>
          <w:rFonts w:hint="eastAsia" w:ascii="仿宋_GB2312" w:eastAsia="仿宋_GB2312" w:cs="仿宋_GB2312"/>
          <w:sz w:val="32"/>
          <w:szCs w:val="32"/>
          <w:lang w:eastAsia="zh-CN"/>
        </w:rPr>
        <w:t>）</w:t>
      </w:r>
      <w:r>
        <w:rPr>
          <w:rFonts w:hint="eastAsia" w:ascii="仿宋_GB2312" w:eastAsia="仿宋_GB2312" w:cs="仿宋_GB2312"/>
          <w:sz w:val="32"/>
          <w:szCs w:val="32"/>
        </w:rPr>
        <w:t>贯彻落实区委有关部署，开展常态化全覆盖监督有关工作，做好有关服务保障工作。</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val="en-US" w:eastAsia="zh-CN"/>
        </w:rPr>
        <w:t>4、</w:t>
      </w:r>
      <w:bookmarkStart w:id="0" w:name="_GoBack"/>
      <w:bookmarkEnd w:id="0"/>
      <w:r>
        <w:rPr>
          <w:rFonts w:hint="eastAsia" w:ascii="仿宋_GB2312" w:eastAsia="仿宋_GB2312" w:cs="仿宋_GB2312"/>
          <w:sz w:val="32"/>
          <w:szCs w:val="32"/>
        </w:rPr>
        <w:t>纪检监察事务管理</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1</w:t>
      </w:r>
      <w:r>
        <w:rPr>
          <w:rFonts w:hint="eastAsia" w:ascii="仿宋_GB2312" w:eastAsia="仿宋_GB2312" w:cs="仿宋_GB2312"/>
          <w:sz w:val="32"/>
          <w:szCs w:val="32"/>
          <w:lang w:eastAsia="zh-CN"/>
        </w:rPr>
        <w:t>）</w:t>
      </w:r>
      <w:r>
        <w:rPr>
          <w:rFonts w:hint="eastAsia" w:ascii="仿宋_GB2312" w:eastAsia="仿宋_GB2312" w:cs="仿宋_GB2312"/>
          <w:sz w:val="32"/>
          <w:szCs w:val="32"/>
        </w:rPr>
        <w:t>加强全区纪检政策宣传，加强领导班子、干部队伍和组织建设，打造一支高素质、高水平的纪检监察干部队伍。</w:t>
      </w:r>
    </w:p>
    <w:p>
      <w:pPr>
        <w:spacing w:line="600" w:lineRule="exact"/>
        <w:ind w:firstLine="560"/>
        <w:rPr>
          <w:rFonts w:ascii="仿宋_GB2312" w:eastAsia="仿宋_GB2312"/>
          <w:sz w:val="32"/>
          <w:szCs w:val="32"/>
        </w:rPr>
      </w:pP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2</w:t>
      </w:r>
      <w:r>
        <w:rPr>
          <w:rFonts w:hint="eastAsia" w:ascii="仿宋_GB2312" w:eastAsia="仿宋_GB2312" w:cs="仿宋_GB2312"/>
          <w:sz w:val="32"/>
          <w:szCs w:val="32"/>
          <w:lang w:eastAsia="zh-CN"/>
        </w:rPr>
        <w:t>）</w:t>
      </w:r>
      <w:r>
        <w:rPr>
          <w:rFonts w:hint="eastAsia" w:ascii="仿宋_GB2312" w:eastAsia="仿宋_GB2312" w:cs="仿宋_GB2312"/>
          <w:sz w:val="32"/>
          <w:szCs w:val="32"/>
        </w:rPr>
        <w:t>宣传党的纪检工作方针、政策，教育纪检干部遵守和执行党章以及党内法规、党的路线方针政策和决议、国家法规等，全面提高纪检监察干部队伍素质，为案件查办、纪检监察业务、党风廉政建设提高服务和保障并负责办公场所运行维护。</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本部门2018年度机关运行经费支出553.95万元，比年初预算数持平。</w:t>
      </w:r>
    </w:p>
    <w:p>
      <w:pPr>
        <w:pStyle w:val="4"/>
        <w:spacing w:before="0" w:after="0" w:line="580" w:lineRule="exact"/>
        <w:ind w:firstLine="643" w:firstLineChars="200"/>
        <w:rPr>
          <w:rFonts w:ascii="楷体_GB2312" w:eastAsia="楷体_GB2312" w:cs="DengXian-Bold"/>
        </w:rPr>
      </w:pPr>
      <w:r>
        <w:rPr>
          <w:rFonts w:ascii="楷体_GB2312" w:eastAsia="楷体_GB2312" w:cs="DengXian-Bold"/>
        </w:rPr>
        <w:pict>
          <v:group id="_x0000_s1335" o:spid="_x0000_s1335" o:spt="203" style="position:absolute;left:0pt;margin-left:-7.45pt;margin-top:25.8pt;height:43.95pt;width:301.85pt;mso-position-horizontal-relative:page;mso-position-vertical-relative:page;z-index:25168384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336"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337"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本部门2018年度政府采购支出总额15.25万元，从采购类型来看，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15.25</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0万</w:t>
      </w:r>
      <w:r>
        <w:rPr>
          <w:rFonts w:ascii="仿宋_GB2312" w:hAnsi="仿宋_GB2312" w:eastAsia="仿宋_GB2312" w:cs="仿宋_GB2312"/>
          <w:color w:val="000000"/>
          <w:kern w:val="0"/>
          <w:sz w:val="32"/>
          <w:szCs w:val="32"/>
        </w:rPr>
        <w:t>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7辆，比上年增加2辆，主要是由于机构改革，检察院职能转录，调剂车辆2辆，其中，副部（省）级及以上领导用车0辆，主要领导干部用车0辆，机要通信用车0辆，应急保障用车0辆，执法执勤用车7辆，特种专业技术用车0辆，离退休干部用车0辆，其他用车0辆，无其他用车；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万元以上通用设备0台（套），比上年增加（减少）0套，无增减变化，单位价值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万元以上专用设备0台（套）比上年增加（减少）0套, 无增减变化，</w:t>
      </w:r>
    </w:p>
    <w:p>
      <w:pPr>
        <w:adjustRightInd w:val="0"/>
        <w:snapToGrid w:val="0"/>
        <w:spacing w:after="0" w:line="580" w:lineRule="exact"/>
        <w:ind w:firstLine="643" w:firstLineChars="200"/>
        <w:rPr>
          <w:rFonts w:ascii="楷体_GB2312" w:eastAsia="楷体_GB2312" w:cs="DengXian-Bold"/>
          <w:b/>
          <w:sz w:val="32"/>
          <w:szCs w:val="32"/>
        </w:rPr>
      </w:pPr>
      <w:r>
        <w:rPr>
          <w:rFonts w:hint="eastAsia" w:ascii="楷体_GB2312" w:eastAsia="楷体_GB2312" w:cs="DengXian-Bold"/>
          <w:b/>
          <w:sz w:val="32"/>
          <w:szCs w:val="32"/>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1、本部门2018年度政府性基金预算财政拔款无收支及结转结余情况，故以空表列示。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58240;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3264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398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ascii="仿宋_GB2312" w:eastAsia="仿宋_GB2312" w:hAnsiTheme="majorEastAsia"/>
          <w:b/>
          <w:bCs/>
          <w:color w:val="000000"/>
          <w:kern w:val="0"/>
          <w:sz w:val="32"/>
          <w:szCs w:val="32"/>
        </w:rPr>
        <w:pict>
          <v:group id="_x0000_s1338" o:spid="_x0000_s1338" o:spt="203" style="position:absolute;left:0pt;margin-left:-80.25pt;margin-top:32.65pt;height:43.95pt;width:264.85pt;mso-position-vertical-relative:page;z-index:2516848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339"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340"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4185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ascii="仿宋_GB2312" w:eastAsia="仿宋_GB2312" w:hAnsiTheme="majorEastAsia"/>
          <w:b/>
          <w:bCs/>
          <w:color w:val="000000"/>
          <w:kern w:val="0"/>
          <w:sz w:val="32"/>
          <w:szCs w:val="32"/>
        </w:rPr>
        <w:pict>
          <v:group id="_x0000_s1341" o:spid="_x0000_s1341" o:spt="203" style="position:absolute;left:0pt;margin-left:-80.25pt;margin-top:30.75pt;height:43.95pt;width:264.85pt;mso-position-vertical-relative:page;z-index:25168588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342"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343"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5824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59264;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ascii="仿宋_GB2312" w:eastAsia="仿宋_GB2312" w:hAnsiTheme="majorEastAsia"/>
          <w:b/>
          <w:bCs/>
          <w:color w:val="000000"/>
          <w:kern w:val="0"/>
          <w:sz w:val="32"/>
          <w:szCs w:val="32"/>
        </w:rPr>
        <w:pict>
          <v:group id="_x0000_s1344" o:spid="_x0000_s1344" o:spt="203" style="position:absolute;left:0pt;margin-left:-81.95pt;margin-top:26.65pt;height:43.95pt;width:264.85pt;mso-position-vertical-relative:page;z-index:25168691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34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34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3366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0"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2A590EB-2D53-4CDB-8494-AE3CCAD830C6}"/>
  </w:font>
  <w:font w:name="黑体">
    <w:panose1 w:val="02010609060101010101"/>
    <w:charset w:val="86"/>
    <w:family w:val="auto"/>
    <w:pitch w:val="default"/>
    <w:sig w:usb0="800002BF" w:usb1="38CF7CFA" w:usb2="00000016" w:usb3="00000000" w:csb0="00040001" w:csb1="00000000"/>
    <w:embedRegular r:id="rId2" w:fontKey="{96A98B3B-522A-40D1-9447-EA7BE62499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2B79546D-3B18-4D4D-B06A-50D9731EE7CC}"/>
  </w:font>
  <w:font w:name="Cambria">
    <w:panose1 w:val="02040503050406030204"/>
    <w:charset w:val="00"/>
    <w:family w:val="roman"/>
    <w:pitch w:val="default"/>
    <w:sig w:usb0="E00006FF" w:usb1="420024FF" w:usb2="02000000" w:usb3="00000000" w:csb0="2000019F" w:csb1="00000000"/>
    <w:embedRegular r:id="rId4" w:fontKey="{8410FFBA-973E-4B31-92A3-77FBBB5C2EAE}"/>
  </w:font>
  <w:font w:name="楷体">
    <w:panose1 w:val="02010609060101010101"/>
    <w:charset w:val="86"/>
    <w:family w:val="modern"/>
    <w:pitch w:val="default"/>
    <w:sig w:usb0="800002BF" w:usb1="38CF7CFA" w:usb2="00000016" w:usb3="00000000" w:csb0="00040001" w:csb1="00000000"/>
    <w:embedRegular r:id="rId5" w:fontKey="{DA33466F-D2A7-48D6-9B24-FCDB884BFFCF}"/>
  </w:font>
  <w:font w:name="仿宋_GB2312">
    <w:panose1 w:val="02010609030101010101"/>
    <w:charset w:val="86"/>
    <w:family w:val="modern"/>
    <w:pitch w:val="default"/>
    <w:sig w:usb0="00000001" w:usb1="080E0000" w:usb2="00000000" w:usb3="00000000" w:csb0="00040000" w:csb1="00000000"/>
    <w:embedRegular r:id="rId6" w:fontKey="{BC92F64D-0DBB-4BDD-B2C1-C8608B5D4B11}"/>
  </w:font>
  <w:font w:name="ArialUnicodeMS">
    <w:altName w:val="Malgun Gothic"/>
    <w:panose1 w:val="00000000000000000000"/>
    <w:charset w:val="81"/>
    <w:family w:val="auto"/>
    <w:pitch w:val="default"/>
    <w:sig w:usb0="00000000" w:usb1="00000000" w:usb2="00000010" w:usb3="00000000" w:csb0="00080001" w:csb1="00000000"/>
    <w:embedRegular r:id="rId7" w:fontKey="{B0559C35-7B42-42A2-8963-4845A8FD5434}"/>
  </w:font>
  <w:font w:name="方正楷体_GBK">
    <w:panose1 w:val="03000509000000000000"/>
    <w:charset w:val="86"/>
    <w:family w:val="auto"/>
    <w:pitch w:val="default"/>
    <w:sig w:usb0="00000001" w:usb1="080E0000" w:usb2="00000000" w:usb3="00000000" w:csb0="00040000" w:csb1="00000000"/>
    <w:embedRegular r:id="rId8" w:fontKey="{89923889-F071-4A67-ACFE-E8C54EAAAD41}"/>
  </w:font>
  <w:font w:name="方正仿宋_GBK">
    <w:panose1 w:val="03000509000000000000"/>
    <w:charset w:val="86"/>
    <w:family w:val="script"/>
    <w:pitch w:val="default"/>
    <w:sig w:usb0="00000001" w:usb1="080E0000" w:usb2="00000000" w:usb3="00000000" w:csb0="00040000" w:csb1="00000000"/>
    <w:embedRegular r:id="rId9" w:fontKey="{3AD3467B-C9E8-4A34-BDEB-1E52CE8DB9B1}"/>
  </w:font>
  <w:font w:name="仿宋">
    <w:panose1 w:val="02010609060101010101"/>
    <w:charset w:val="86"/>
    <w:family w:val="modern"/>
    <w:pitch w:val="default"/>
    <w:sig w:usb0="800002BF" w:usb1="38CF7CFA" w:usb2="00000016" w:usb3="00000000" w:csb0="00040001" w:csb1="00000000"/>
    <w:embedRegular r:id="rId10" w:fontKey="{B4E6FA1E-BAE9-4907-9E4A-FD21508EB843}"/>
  </w:font>
  <w:font w:name="MS-UIGothic,Bold">
    <w:altName w:val="Malgun Gothic"/>
    <w:panose1 w:val="00000000000000000000"/>
    <w:charset w:val="81"/>
    <w:family w:val="auto"/>
    <w:pitch w:val="default"/>
    <w:sig w:usb0="00000000" w:usb1="00000000" w:usb2="00000010" w:usb3="00000000" w:csb0="00080000" w:csb1="00000000"/>
    <w:embedRegular r:id="rId11" w:fontKey="{F040C7A5-113D-44DF-8BB3-210C8167B32C}"/>
  </w:font>
  <w:font w:name="DengXian-Regular">
    <w:altName w:val="宋体"/>
    <w:panose1 w:val="00000000000000000000"/>
    <w:charset w:val="86"/>
    <w:family w:val="auto"/>
    <w:pitch w:val="default"/>
    <w:sig w:usb0="00000000" w:usb1="00000000" w:usb2="00000010" w:usb3="00000000" w:csb0="00040001" w:csb1="00000000"/>
    <w:embedRegular r:id="rId12" w:fontKey="{23BC0C7F-204E-4398-AE0A-4C814CE4534D}"/>
  </w:font>
  <w:font w:name="楷体_GB2312">
    <w:panose1 w:val="02010609030101010101"/>
    <w:charset w:val="86"/>
    <w:family w:val="modern"/>
    <w:pitch w:val="default"/>
    <w:sig w:usb0="00000001" w:usb1="080E0000" w:usb2="00000000" w:usb3="00000000" w:csb0="00040000" w:csb1="00000000"/>
    <w:embedRegular r:id="rId13" w:fontKey="{AD3E2911-459C-434B-B905-95A8B065E10E}"/>
  </w:font>
  <w:font w:name="DengXian-Bold">
    <w:altName w:val="宋体"/>
    <w:panose1 w:val="00000000000000000000"/>
    <w:charset w:val="86"/>
    <w:family w:val="auto"/>
    <w:pitch w:val="default"/>
    <w:sig w:usb0="00000000" w:usb1="00000000" w:usb2="00000010" w:usb3="00000000" w:csb0="00040001" w:csb1="00000000"/>
    <w:embedRegular r:id="rId14" w:fontKey="{97152C46-6AF2-4CC7-890B-B5CF3F69ABE5}"/>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CCB"/>
    <w:multiLevelType w:val="multilevel"/>
    <w:tmpl w:val="019D0CCB"/>
    <w:lvl w:ilvl="0" w:tentative="0">
      <w:start w:val="1"/>
      <w:numFmt w:val="japaneseCounting"/>
      <w:lvlText w:val="%1、"/>
      <w:lvlJc w:val="left"/>
      <w:pPr>
        <w:ind w:left="1287"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343AD"/>
    <w:rsid w:val="000475A0"/>
    <w:rsid w:val="000838C3"/>
    <w:rsid w:val="00090F28"/>
    <w:rsid w:val="000B2446"/>
    <w:rsid w:val="000D7C65"/>
    <w:rsid w:val="000E2F81"/>
    <w:rsid w:val="000E616B"/>
    <w:rsid w:val="00117946"/>
    <w:rsid w:val="00117E2C"/>
    <w:rsid w:val="00130D3D"/>
    <w:rsid w:val="00146C47"/>
    <w:rsid w:val="00152FB8"/>
    <w:rsid w:val="00176658"/>
    <w:rsid w:val="0018239E"/>
    <w:rsid w:val="001876B3"/>
    <w:rsid w:val="001B3410"/>
    <w:rsid w:val="001C030D"/>
    <w:rsid w:val="001C4A84"/>
    <w:rsid w:val="001D7595"/>
    <w:rsid w:val="001E5902"/>
    <w:rsid w:val="001F1A07"/>
    <w:rsid w:val="002220EE"/>
    <w:rsid w:val="00231864"/>
    <w:rsid w:val="00233705"/>
    <w:rsid w:val="00275CA2"/>
    <w:rsid w:val="002945C1"/>
    <w:rsid w:val="002A65A5"/>
    <w:rsid w:val="002C04C4"/>
    <w:rsid w:val="002C778F"/>
    <w:rsid w:val="002D08B0"/>
    <w:rsid w:val="002D1AE3"/>
    <w:rsid w:val="002F2ECE"/>
    <w:rsid w:val="00336155"/>
    <w:rsid w:val="00341C8F"/>
    <w:rsid w:val="00352C97"/>
    <w:rsid w:val="0035463A"/>
    <w:rsid w:val="00391D9D"/>
    <w:rsid w:val="003B6C51"/>
    <w:rsid w:val="003C1413"/>
    <w:rsid w:val="003C482D"/>
    <w:rsid w:val="003C549F"/>
    <w:rsid w:val="003D5A16"/>
    <w:rsid w:val="003E7DB3"/>
    <w:rsid w:val="00400DCE"/>
    <w:rsid w:val="0040717A"/>
    <w:rsid w:val="00430D63"/>
    <w:rsid w:val="00431175"/>
    <w:rsid w:val="0044439F"/>
    <w:rsid w:val="00446309"/>
    <w:rsid w:val="0047198E"/>
    <w:rsid w:val="004820DA"/>
    <w:rsid w:val="004A6B3D"/>
    <w:rsid w:val="004B6E37"/>
    <w:rsid w:val="004C32BA"/>
    <w:rsid w:val="00502647"/>
    <w:rsid w:val="00506757"/>
    <w:rsid w:val="0050681E"/>
    <w:rsid w:val="005316EE"/>
    <w:rsid w:val="00575781"/>
    <w:rsid w:val="00575922"/>
    <w:rsid w:val="00583333"/>
    <w:rsid w:val="005A6C90"/>
    <w:rsid w:val="005B59E9"/>
    <w:rsid w:val="005E3FB0"/>
    <w:rsid w:val="005E5388"/>
    <w:rsid w:val="005F377B"/>
    <w:rsid w:val="005F4B66"/>
    <w:rsid w:val="005F5208"/>
    <w:rsid w:val="006070B2"/>
    <w:rsid w:val="006073F3"/>
    <w:rsid w:val="00641318"/>
    <w:rsid w:val="0064405D"/>
    <w:rsid w:val="006514ED"/>
    <w:rsid w:val="006639C6"/>
    <w:rsid w:val="00695557"/>
    <w:rsid w:val="006C1092"/>
    <w:rsid w:val="006C16C8"/>
    <w:rsid w:val="006D4EA7"/>
    <w:rsid w:val="006F5D62"/>
    <w:rsid w:val="0070012A"/>
    <w:rsid w:val="0070170B"/>
    <w:rsid w:val="007064B1"/>
    <w:rsid w:val="0070664B"/>
    <w:rsid w:val="007071B8"/>
    <w:rsid w:val="0072340D"/>
    <w:rsid w:val="007414DE"/>
    <w:rsid w:val="0075034B"/>
    <w:rsid w:val="00765036"/>
    <w:rsid w:val="007905A9"/>
    <w:rsid w:val="007B5891"/>
    <w:rsid w:val="007C01B7"/>
    <w:rsid w:val="007C04D6"/>
    <w:rsid w:val="007D4D92"/>
    <w:rsid w:val="007E5500"/>
    <w:rsid w:val="007F055B"/>
    <w:rsid w:val="00811C2F"/>
    <w:rsid w:val="00833D46"/>
    <w:rsid w:val="00840A97"/>
    <w:rsid w:val="0086002B"/>
    <w:rsid w:val="00886E8B"/>
    <w:rsid w:val="008C0149"/>
    <w:rsid w:val="008D5DED"/>
    <w:rsid w:val="008E25CA"/>
    <w:rsid w:val="008F34FC"/>
    <w:rsid w:val="008F6157"/>
    <w:rsid w:val="00906D7A"/>
    <w:rsid w:val="00932DB6"/>
    <w:rsid w:val="009420DB"/>
    <w:rsid w:val="00944CD7"/>
    <w:rsid w:val="009831B2"/>
    <w:rsid w:val="00984E5A"/>
    <w:rsid w:val="009A1ABE"/>
    <w:rsid w:val="009B33D2"/>
    <w:rsid w:val="009B357B"/>
    <w:rsid w:val="009E21A4"/>
    <w:rsid w:val="009F22C6"/>
    <w:rsid w:val="009F6FA8"/>
    <w:rsid w:val="00A06D65"/>
    <w:rsid w:val="00A07E50"/>
    <w:rsid w:val="00A14020"/>
    <w:rsid w:val="00A15397"/>
    <w:rsid w:val="00A35CE0"/>
    <w:rsid w:val="00A4462E"/>
    <w:rsid w:val="00A44AA4"/>
    <w:rsid w:val="00A61623"/>
    <w:rsid w:val="00A76C7A"/>
    <w:rsid w:val="00A84687"/>
    <w:rsid w:val="00AB0A0E"/>
    <w:rsid w:val="00AC01BA"/>
    <w:rsid w:val="00AD2BE8"/>
    <w:rsid w:val="00AD3B6E"/>
    <w:rsid w:val="00AD7983"/>
    <w:rsid w:val="00B1751F"/>
    <w:rsid w:val="00B30F63"/>
    <w:rsid w:val="00B37708"/>
    <w:rsid w:val="00B56722"/>
    <w:rsid w:val="00B74D39"/>
    <w:rsid w:val="00B83A8E"/>
    <w:rsid w:val="00B91DA4"/>
    <w:rsid w:val="00BA2484"/>
    <w:rsid w:val="00BE5250"/>
    <w:rsid w:val="00C12630"/>
    <w:rsid w:val="00C26A70"/>
    <w:rsid w:val="00C34562"/>
    <w:rsid w:val="00C347EF"/>
    <w:rsid w:val="00C3774E"/>
    <w:rsid w:val="00C53E97"/>
    <w:rsid w:val="00C57456"/>
    <w:rsid w:val="00C65387"/>
    <w:rsid w:val="00C74AFD"/>
    <w:rsid w:val="00C87FAB"/>
    <w:rsid w:val="00C91FF7"/>
    <w:rsid w:val="00C94E53"/>
    <w:rsid w:val="00CB4FA8"/>
    <w:rsid w:val="00CD20BF"/>
    <w:rsid w:val="00CD755D"/>
    <w:rsid w:val="00CF1544"/>
    <w:rsid w:val="00D0048E"/>
    <w:rsid w:val="00D00B3A"/>
    <w:rsid w:val="00D23E7A"/>
    <w:rsid w:val="00D4067C"/>
    <w:rsid w:val="00D61063"/>
    <w:rsid w:val="00D62CD9"/>
    <w:rsid w:val="00DB35AF"/>
    <w:rsid w:val="00DC1EE2"/>
    <w:rsid w:val="00DD6A4A"/>
    <w:rsid w:val="00DD72D7"/>
    <w:rsid w:val="00DF5B88"/>
    <w:rsid w:val="00E01738"/>
    <w:rsid w:val="00E02A4C"/>
    <w:rsid w:val="00E0589E"/>
    <w:rsid w:val="00E241FA"/>
    <w:rsid w:val="00E2595E"/>
    <w:rsid w:val="00E35374"/>
    <w:rsid w:val="00E50C19"/>
    <w:rsid w:val="00E62996"/>
    <w:rsid w:val="00E64655"/>
    <w:rsid w:val="00E73081"/>
    <w:rsid w:val="00E856C9"/>
    <w:rsid w:val="00E90CC8"/>
    <w:rsid w:val="00EB6A8B"/>
    <w:rsid w:val="00EB7F08"/>
    <w:rsid w:val="00EF38C6"/>
    <w:rsid w:val="00EF43B0"/>
    <w:rsid w:val="00F044B1"/>
    <w:rsid w:val="00F07A55"/>
    <w:rsid w:val="00F27F9D"/>
    <w:rsid w:val="00F36D22"/>
    <w:rsid w:val="00F4454D"/>
    <w:rsid w:val="00F679C7"/>
    <w:rsid w:val="00F75D58"/>
    <w:rsid w:val="00F7711A"/>
    <w:rsid w:val="00F95DFA"/>
    <w:rsid w:val="00FA0D58"/>
    <w:rsid w:val="00FA56F4"/>
    <w:rsid w:val="00FB4EDA"/>
    <w:rsid w:val="00FC7DA4"/>
    <w:rsid w:val="00FD1029"/>
    <w:rsid w:val="00FD3BD5"/>
    <w:rsid w:val="00FD7B40"/>
    <w:rsid w:val="00FE3DC8"/>
    <w:rsid w:val="04073F84"/>
    <w:rsid w:val="08EE337F"/>
    <w:rsid w:val="0A0B1F79"/>
    <w:rsid w:val="0B60750A"/>
    <w:rsid w:val="10686488"/>
    <w:rsid w:val="10DF728A"/>
    <w:rsid w:val="1264200E"/>
    <w:rsid w:val="141C5B77"/>
    <w:rsid w:val="18D8339D"/>
    <w:rsid w:val="18E71858"/>
    <w:rsid w:val="1A21388F"/>
    <w:rsid w:val="1A4339D9"/>
    <w:rsid w:val="1A570D2F"/>
    <w:rsid w:val="1CBC3126"/>
    <w:rsid w:val="1DC01D90"/>
    <w:rsid w:val="22702A3A"/>
    <w:rsid w:val="27312C42"/>
    <w:rsid w:val="28FB0B8D"/>
    <w:rsid w:val="2A9870FC"/>
    <w:rsid w:val="2D2B7942"/>
    <w:rsid w:val="2D46481D"/>
    <w:rsid w:val="2E733B28"/>
    <w:rsid w:val="31852B5A"/>
    <w:rsid w:val="32D01238"/>
    <w:rsid w:val="33493F63"/>
    <w:rsid w:val="38715230"/>
    <w:rsid w:val="3DFC59A8"/>
    <w:rsid w:val="3ECF245E"/>
    <w:rsid w:val="3FB96314"/>
    <w:rsid w:val="4CF96D3F"/>
    <w:rsid w:val="4FB62C15"/>
    <w:rsid w:val="53A44FAF"/>
    <w:rsid w:val="594329EC"/>
    <w:rsid w:val="5BEE1540"/>
    <w:rsid w:val="5DE61A5D"/>
    <w:rsid w:val="63C04243"/>
    <w:rsid w:val="649C01C7"/>
    <w:rsid w:val="684C05BB"/>
    <w:rsid w:val="699A3F60"/>
    <w:rsid w:val="6A2541C6"/>
    <w:rsid w:val="72902E62"/>
    <w:rsid w:val="73C61104"/>
    <w:rsid w:val="776452EA"/>
    <w:rsid w:val="7DC663B9"/>
    <w:rsid w:val="7DC75F2B"/>
    <w:rsid w:val="7FB0481A"/>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7"/>
    <w:semiHidden/>
    <w:unhideWhenUsed/>
    <w:qFormat/>
    <w:uiPriority w:val="99"/>
    <w:pPr>
      <w:ind w:left="100" w:leftChars="2500"/>
    </w:pPr>
  </w:style>
  <w:style w:type="paragraph" w:styleId="7">
    <w:name w:val="Balloon Text"/>
    <w:basedOn w:val="1"/>
    <w:link w:val="25"/>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7"/>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Normal (Web)"/>
    <w:basedOn w:val="1"/>
    <w:semiHidden/>
    <w:unhideWhenUsed/>
    <w:qFormat/>
    <w:uiPriority w:val="99"/>
    <w:rPr>
      <w:sz w:val="24"/>
    </w:rPr>
  </w:style>
  <w:style w:type="paragraph" w:styleId="12">
    <w:name w:val="Title"/>
    <w:basedOn w:val="1"/>
    <w:next w:val="1"/>
    <w:link w:val="26"/>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styleId="17">
    <w:name w:val="FollowedHyperlink"/>
    <w:basedOn w:val="15"/>
    <w:semiHidden/>
    <w:unhideWhenUsed/>
    <w:qFormat/>
    <w:uiPriority w:val="99"/>
    <w:rPr>
      <w:color w:val="000000"/>
      <w:u w:val="none"/>
    </w:rPr>
  </w:style>
  <w:style w:type="character" w:styleId="18">
    <w:name w:val="Emphasis"/>
    <w:basedOn w:val="15"/>
    <w:qFormat/>
    <w:uiPriority w:val="20"/>
  </w:style>
  <w:style w:type="character" w:styleId="19">
    <w:name w:val="Hyperlink"/>
    <w:basedOn w:val="15"/>
    <w:semiHidden/>
    <w:unhideWhenUsed/>
    <w:qFormat/>
    <w:uiPriority w:val="99"/>
    <w:rPr>
      <w:color w:val="000000"/>
      <w:u w:val="none"/>
    </w:rPr>
  </w:style>
  <w:style w:type="character" w:styleId="20">
    <w:name w:val="HTML Cite"/>
    <w:basedOn w:val="15"/>
    <w:semiHidden/>
    <w:unhideWhenUsed/>
    <w:qFormat/>
    <w:uiPriority w:val="99"/>
  </w:style>
  <w:style w:type="character" w:customStyle="1" w:styleId="21">
    <w:name w:val="页眉 Char"/>
    <w:basedOn w:val="15"/>
    <w:link w:val="9"/>
    <w:qFormat/>
    <w:uiPriority w:val="99"/>
    <w:rPr>
      <w:sz w:val="18"/>
      <w:szCs w:val="18"/>
    </w:rPr>
  </w:style>
  <w:style w:type="character" w:customStyle="1" w:styleId="22">
    <w:name w:val="页脚 Char"/>
    <w:basedOn w:val="15"/>
    <w:link w:val="8"/>
    <w:qFormat/>
    <w:uiPriority w:val="99"/>
    <w:rPr>
      <w:sz w:val="18"/>
      <w:szCs w:val="18"/>
    </w:rPr>
  </w:style>
  <w:style w:type="paragraph" w:styleId="23">
    <w:name w:val="No Spacing"/>
    <w:link w:val="24"/>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24">
    <w:name w:val="无间隔 Char"/>
    <w:basedOn w:val="15"/>
    <w:link w:val="23"/>
    <w:qFormat/>
    <w:uiPriority w:val="1"/>
    <w:rPr>
      <w:kern w:val="0"/>
      <w:sz w:val="22"/>
    </w:rPr>
  </w:style>
  <w:style w:type="character" w:customStyle="1" w:styleId="25">
    <w:name w:val="批注框文本 Char"/>
    <w:basedOn w:val="15"/>
    <w:link w:val="7"/>
    <w:semiHidden/>
    <w:qFormat/>
    <w:uiPriority w:val="99"/>
    <w:rPr>
      <w:rFonts w:ascii="Times New Roman" w:hAnsi="Times New Roman" w:eastAsia="宋体" w:cs="Times New Roman"/>
      <w:sz w:val="18"/>
      <w:szCs w:val="18"/>
    </w:rPr>
  </w:style>
  <w:style w:type="character" w:customStyle="1" w:styleId="26">
    <w:name w:val="标题 Char"/>
    <w:basedOn w:val="15"/>
    <w:link w:val="12"/>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7">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8">
    <w:name w:val="Style1"/>
    <w:basedOn w:val="15"/>
    <w:qFormat/>
    <w:uiPriority w:val="1"/>
    <w:rPr>
      <w:rFonts w:asciiTheme="minorHAnsi" w:hAnsiTheme="minorEastAsia" w:eastAsiaTheme="minorEastAsia" w:cstheme="minorBidi"/>
      <w:sz w:val="22"/>
      <w:szCs w:val="22"/>
      <w:lang w:eastAsia="zh-CN"/>
    </w:rPr>
  </w:style>
  <w:style w:type="character" w:customStyle="1" w:styleId="29">
    <w:name w:val="Style2"/>
    <w:basedOn w:val="15"/>
    <w:qFormat/>
    <w:uiPriority w:val="1"/>
    <w:rPr>
      <w:rFonts w:asciiTheme="minorHAnsi" w:hAnsiTheme="minorEastAsia" w:eastAsiaTheme="minorEastAsia" w:cstheme="minorBidi"/>
      <w:sz w:val="22"/>
      <w:szCs w:val="22"/>
      <w:lang w:eastAsia="zh-CN"/>
    </w:rPr>
  </w:style>
  <w:style w:type="character" w:customStyle="1" w:styleId="30">
    <w:name w:val="Style3"/>
    <w:basedOn w:val="15"/>
    <w:qFormat/>
    <w:uiPriority w:val="1"/>
    <w:rPr>
      <w:rFonts w:asciiTheme="minorHAnsi" w:hAnsiTheme="minorEastAsia" w:eastAsiaTheme="minorEastAsia" w:cstheme="minorBidi"/>
      <w:szCs w:val="22"/>
      <w:lang w:eastAsia="zh-CN"/>
    </w:rPr>
  </w:style>
  <w:style w:type="character" w:customStyle="1" w:styleId="31">
    <w:name w:val="Style4"/>
    <w:basedOn w:val="15"/>
    <w:qFormat/>
    <w:uiPriority w:val="1"/>
    <w:rPr>
      <w:rFonts w:asciiTheme="minorHAnsi" w:hAnsiTheme="minorEastAsia" w:eastAsiaTheme="minorEastAsia" w:cstheme="minorBidi"/>
      <w:szCs w:val="22"/>
      <w:lang w:eastAsia="zh-CN"/>
    </w:rPr>
  </w:style>
  <w:style w:type="character" w:customStyle="1" w:styleId="32">
    <w:name w:val="Style5"/>
    <w:basedOn w:val="15"/>
    <w:qFormat/>
    <w:uiPriority w:val="1"/>
    <w:rPr>
      <w:rFonts w:asciiTheme="minorHAnsi" w:hAnsiTheme="minorEastAsia" w:eastAsiaTheme="minorEastAsia" w:cstheme="minorBidi"/>
      <w:sz w:val="22"/>
      <w:szCs w:val="22"/>
      <w:lang w:eastAsia="zh-CN"/>
    </w:rPr>
  </w:style>
  <w:style w:type="character" w:customStyle="1" w:styleId="33">
    <w:name w:val="标题 1 Char"/>
    <w:basedOn w:val="15"/>
    <w:link w:val="2"/>
    <w:qFormat/>
    <w:uiPriority w:val="9"/>
    <w:rPr>
      <w:rFonts w:ascii="Times New Roman" w:hAnsi="Times New Roman" w:eastAsia="宋体" w:cs="Times New Roman"/>
      <w:b/>
      <w:bCs/>
      <w:kern w:val="44"/>
      <w:sz w:val="44"/>
      <w:szCs w:val="44"/>
    </w:rPr>
  </w:style>
  <w:style w:type="character" w:customStyle="1" w:styleId="34">
    <w:name w:val="标题 2 Char"/>
    <w:basedOn w:val="15"/>
    <w:link w:val="3"/>
    <w:qFormat/>
    <w:uiPriority w:val="9"/>
    <w:rPr>
      <w:rFonts w:asciiTheme="majorHAnsi" w:hAnsiTheme="majorHAnsi" w:eastAsiaTheme="majorEastAsia" w:cstheme="majorBidi"/>
      <w:b/>
      <w:bCs/>
      <w:sz w:val="32"/>
      <w:szCs w:val="32"/>
    </w:rPr>
  </w:style>
  <w:style w:type="character" w:customStyle="1" w:styleId="35">
    <w:name w:val="标题 3 Char"/>
    <w:basedOn w:val="15"/>
    <w:link w:val="4"/>
    <w:qFormat/>
    <w:uiPriority w:val="9"/>
    <w:rPr>
      <w:rFonts w:ascii="Times New Roman" w:hAnsi="Times New Roman" w:eastAsia="宋体" w:cs="Times New Roman"/>
      <w:b/>
      <w:bCs/>
      <w:sz w:val="32"/>
      <w:szCs w:val="32"/>
    </w:rPr>
  </w:style>
  <w:style w:type="character" w:customStyle="1" w:styleId="36">
    <w:name w:val="标题 4 Char"/>
    <w:basedOn w:val="15"/>
    <w:link w:val="5"/>
    <w:qFormat/>
    <w:uiPriority w:val="9"/>
    <w:rPr>
      <w:rFonts w:asciiTheme="majorHAnsi" w:hAnsiTheme="majorHAnsi" w:eastAsiaTheme="majorEastAsia" w:cstheme="majorBidi"/>
      <w:b/>
      <w:bCs/>
      <w:sz w:val="28"/>
      <w:szCs w:val="28"/>
    </w:rPr>
  </w:style>
  <w:style w:type="character" w:customStyle="1" w:styleId="37">
    <w:name w:val="日期 Char"/>
    <w:basedOn w:val="15"/>
    <w:link w:val="6"/>
    <w:semiHidden/>
    <w:qFormat/>
    <w:uiPriority w:val="99"/>
    <w:rPr>
      <w:rFonts w:ascii="Times New Roman" w:hAnsi="Times New Roman" w:eastAsia="宋体" w:cs="Times New Roman"/>
      <w:szCs w:val="24"/>
    </w:rPr>
  </w:style>
  <w:style w:type="paragraph" w:styleId="38">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销售额</c:v>
                </c:pt>
              </c:strCache>
            </c:strRef>
          </c:tx>
          <c:explosion val="0"/>
          <c:dPt>
            <c:idx val="0"/>
            <c:bubble3D val="0"/>
          </c:dPt>
          <c:dPt>
            <c:idx val="1"/>
            <c:bubble3D val="0"/>
          </c:dPt>
          <c:dPt>
            <c:idx val="2"/>
            <c:bubble3D val="0"/>
          </c:dPt>
          <c:dPt>
            <c:idx val="3"/>
            <c:bubble3D val="0"/>
          </c:dPt>
          <c:dLbls>
            <c:dLbl>
              <c:idx val="0"/>
              <c:layout>
                <c:manualLayout>
                  <c:x val="-0.000836532203747119"/>
                  <c:y val="-0.51525506112396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财政拨款收入</a:t>
                    </a:r>
                    <a:r>
                      <a:rPr lang="en-US" altLang="en-US"/>
                      <a:t>100</a:t>
                    </a:r>
                    <a:r>
                      <a:rPr lang="en-US" altLang="zh-CN"/>
                      <a:t>%</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'Sheet1'!$A$2:$A$5</c:f>
              <c:strCache>
                <c:ptCount val="1"/>
                <c:pt idx="0">
                  <c:v>第一季度</c:v>
                </c:pt>
              </c:strCache>
            </c:strRef>
          </c:cat>
          <c:val>
            <c:numRef>
              <c:f>'Sheet1'!$B$2:$B$5</c:f>
              <c:numCache>
                <c:formatCode>General</c:formatCode>
                <c:ptCount val="4"/>
                <c:pt idx="0">
                  <c:v>100</c:v>
                </c:pt>
              </c:numCache>
            </c:numRef>
          </c:val>
        </c:ser>
        <c:dLbls>
          <c:showLegendKey val="0"/>
          <c:showVal val="1"/>
          <c:showCatName val="0"/>
          <c:showSerName val="0"/>
          <c:showPercent val="0"/>
          <c:showBubbleSize val="0"/>
          <c:showLeaderLines val="1"/>
        </c:dLbls>
        <c:firstSliceAng val="15"/>
      </c:pieChart>
      <c:spPr>
        <a:noFill/>
        <a:ln>
          <a:noFill/>
        </a:ln>
        <a:effectLst/>
      </c:spPr>
    </c:plotArea>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销售额</c:v>
                </c:pt>
              </c:strCache>
            </c:strRef>
          </c:tx>
          <c:explosion val="0"/>
          <c:dPt>
            <c:idx val="0"/>
            <c:bubble3D val="0"/>
          </c:dPt>
          <c:dPt>
            <c:idx val="1"/>
            <c:bubble3D val="0"/>
          </c:dPt>
          <c:dPt>
            <c:idx val="2"/>
            <c:bubble3D val="0"/>
          </c:dPt>
          <c:dPt>
            <c:idx val="3"/>
            <c:bubble3D val="0"/>
          </c:dPt>
          <c:dLbls>
            <c:dLbl>
              <c:idx val="0"/>
              <c:layout>
                <c:manualLayout>
                  <c:x val="-0.003292744717245"/>
                  <c:y val="-0.508465800957604"/>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en-US" altLang="en-US"/>
                  </a:p>
                  <a:p>
                    <a:pPr>
                      <a:defRPr lang="zh-CN" sz="1000" b="0" i="0" u="none" strike="noStrike" kern="1200" baseline="0">
                        <a:solidFill>
                          <a:schemeClr val="tx1"/>
                        </a:solidFill>
                        <a:latin typeface="+mn-lt"/>
                        <a:ea typeface="+mn-ea"/>
                        <a:cs typeface="+mn-cs"/>
                      </a:defRPr>
                    </a:pPr>
                    <a:r>
                      <a:rPr lang="zh-CN" altLang="en-US"/>
                      <a:t>基本支出</a:t>
                    </a:r>
                    <a:endParaRPr lang="en-US" altLang="zh-CN"/>
                  </a:p>
                  <a:p>
                    <a:pPr>
                      <a:defRPr lang="zh-CN" sz="1000" b="0" i="0" u="none" strike="noStrike" kern="1200" baseline="0">
                        <a:solidFill>
                          <a:schemeClr val="tx1"/>
                        </a:solidFill>
                        <a:latin typeface="+mn-lt"/>
                        <a:ea typeface="+mn-ea"/>
                        <a:cs typeface="+mn-cs"/>
                      </a:defRPr>
                    </a:pPr>
                    <a:r>
                      <a:rPr lang="en-US" altLang="en-US"/>
                      <a:t>100</a:t>
                    </a:r>
                    <a:r>
                      <a:rPr lang="en-US" altLang="zh-CN"/>
                      <a:t>%</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delete val="1"/>
            </c:dLbl>
            <c:dLbl>
              <c:idx val="2"/>
              <c:delete val="1"/>
            </c:dLbl>
            <c:dLbl>
              <c:idx val="3"/>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Sheet1!$A$2:$A$5</c:f>
              <c:strCache>
                <c:ptCount val="1"/>
                <c:pt idx="0">
                  <c:v>第一季度</c:v>
                </c:pt>
              </c:strCache>
            </c:strRef>
          </c:cat>
          <c:val>
            <c:numRef>
              <c:f>Sheet1!$B$2:$B$5</c:f>
              <c:numCache>
                <c:formatCode>General</c:formatCode>
                <c:ptCount val="4"/>
                <c:pt idx="0">
                  <c:v>100</c:v>
                </c:pt>
              </c:numCache>
            </c:numRef>
          </c:val>
        </c:ser>
        <c:dLbls>
          <c:showLegendKey val="0"/>
          <c:showVal val="0"/>
          <c:showCatName val="0"/>
          <c:showSerName val="0"/>
          <c:showPercent val="0"/>
          <c:showBubbleSize val="0"/>
          <c:showLeaderLines val="1"/>
        </c:dLbls>
        <c:firstSliceAng val="15"/>
      </c:pieChart>
      <c:spPr>
        <a:noFill/>
        <a:ln>
          <a:noFill/>
        </a:ln>
        <a:effectLst/>
      </c:spPr>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362"/>
    <customShpInfo spid="_x0000_s1363"/>
    <customShpInfo spid="_x0000_s1361"/>
    <customShpInfo spid="_x0000_s1132"/>
    <customShpInfo spid="_x0000_s1133"/>
    <customShpInfo spid="_x0000_s1131"/>
    <customShpInfo spid="_x0000_s1120"/>
    <customShpInfo spid="_x0000_s1119"/>
    <customShpInfo spid="_x0000_s1118"/>
    <customShpInfo spid="_x0000_s1117"/>
    <customShpInfo spid="_x0000_s1135"/>
    <customShpInfo spid="_x0000_s1136"/>
    <customShpInfo spid="_x0000_s1134"/>
    <customShpInfo spid="_x0000_s1116"/>
    <customShpInfo spid="_x0000_s1115"/>
    <customShpInfo spid="_x0000_s1114"/>
    <customShpInfo spid="_x0000_s1144"/>
    <customShpInfo spid="_x0000_s1145"/>
    <customShpInfo spid="_x0000_s1143"/>
    <customShpInfo spid="_x0000_s1113"/>
    <customShpInfo spid="_x0000_s1171"/>
    <customShpInfo spid="_x0000_s1172"/>
    <customShpInfo spid="_x0000_s1170"/>
    <customShpInfo spid="_x0000_s1112"/>
    <customShpInfo spid="_x0000_s1111"/>
    <customShpInfo spid="_x0000_s1110"/>
    <customShpInfo spid="_x0000_s1174"/>
    <customShpInfo spid="_x0000_s1175"/>
    <customShpInfo spid="_x0000_s1173"/>
    <customShpInfo spid="_x0000_s1109"/>
    <customShpInfo spid="_x0000_s1108"/>
    <customShpInfo spid="_x0000_s1107"/>
    <customShpInfo spid="_x0000_s1177"/>
    <customShpInfo spid="_x0000_s1178"/>
    <customShpInfo spid="_x0000_s1176"/>
    <customShpInfo spid="_x0000_s1106"/>
    <customShpInfo spid="_x0000_s1105"/>
    <customShpInfo spid="_x0000_s1104"/>
    <customShpInfo spid="_x0000_s1180"/>
    <customShpInfo spid="_x0000_s1181"/>
    <customShpInfo spid="_x0000_s1179"/>
    <customShpInfo spid="_x0000_s1103"/>
    <customShpInfo spid="_x0000_s1102"/>
    <customShpInfo spid="_x0000_s1101"/>
    <customShpInfo spid="_x0000_s1183"/>
    <customShpInfo spid="_x0000_s1184"/>
    <customShpInfo spid="_x0000_s1182"/>
    <customShpInfo spid="_x0000_s1100"/>
    <customShpInfo spid="_x0000_s1099"/>
    <customShpInfo spid="_x0000_s1098"/>
    <customShpInfo spid="_x0000_s1186"/>
    <customShpInfo spid="_x0000_s1187"/>
    <customShpInfo spid="_x0000_s1185"/>
    <customShpInfo spid="_x0000_s1097"/>
    <customShpInfo spid="_x0000_s1096"/>
    <customShpInfo spid="_x0000_s1095"/>
    <customShpInfo spid="_x0000_s1189"/>
    <customShpInfo spid="_x0000_s1190"/>
    <customShpInfo spid="_x0000_s1188"/>
    <customShpInfo spid="_x0000_s1094"/>
    <customShpInfo spid="_x0000_s1093"/>
    <customShpInfo spid="_x0000_s1092"/>
    <customShpInfo spid="_x0000_s1192"/>
    <customShpInfo spid="_x0000_s1193"/>
    <customShpInfo spid="_x0000_s1191"/>
    <customShpInfo spid="_x0000_s1091"/>
    <customShpInfo spid="_x0000_s1090"/>
    <customShpInfo spid="_x0000_s1089"/>
    <customShpInfo spid="_x0000_s1359"/>
    <customShpInfo spid="_x0000_s1360"/>
    <customShpInfo spid="_x0000_s1358"/>
    <customShpInfo spid="_x0000_s1355"/>
    <customShpInfo spid="_x0000_s1356"/>
    <customShpInfo spid="_x0000_s1354"/>
    <customShpInfo spid="_x0000_s1294"/>
    <customShpInfo spid="_x0000_s1295"/>
    <customShpInfo spid="_x0000_s1293"/>
    <customShpInfo spid="_x0000_s1085"/>
    <customShpInfo spid="_x0000_s1084"/>
    <customShpInfo spid="_x0000_s1083"/>
    <customShpInfo spid="_x0000_s1082"/>
    <customShpInfo spid="_x0000_s1315"/>
    <customShpInfo spid="_x0000_s1316"/>
    <customShpInfo spid="_x0000_s1314"/>
    <customShpInfo spid="_x0000_s1081"/>
    <customShpInfo spid="_x0000_s1080"/>
    <customShpInfo spid="_x0000_s1079"/>
    <customShpInfo spid="_x0000_s1318"/>
    <customShpInfo spid="_x0000_s1319"/>
    <customShpInfo spid="_x0000_s1317"/>
    <customShpInfo spid="_x0000_s1072"/>
    <customShpInfo spid="_x0000_s1071"/>
    <customShpInfo spid="_x0000_s1070"/>
    <customShpInfo spid="_x0000_s1321"/>
    <customShpInfo spid="_x0000_s1322"/>
    <customShpInfo spid="_x0000_s1320"/>
    <customShpInfo spid="_x0000_s1054"/>
    <customShpInfo spid="_x0000_s1053"/>
    <customShpInfo spid="_x0000_s1052"/>
    <customShpInfo spid="_x0000_s1324"/>
    <customShpInfo spid="_x0000_s1325"/>
    <customShpInfo spid="_x0000_s1323"/>
    <customShpInfo spid="_x0000_s1048"/>
    <customShpInfo spid="_x0000_s1047"/>
    <customShpInfo spid="_x0000_s1046"/>
    <customShpInfo spid="_x0000_s1327"/>
    <customShpInfo spid="_x0000_s1328"/>
    <customShpInfo spid="_x0000_s1326"/>
    <customShpInfo spid="_x0000_s1045"/>
    <customShpInfo spid="_x0000_s1044"/>
    <customShpInfo spid="_x0000_s1043"/>
    <customShpInfo spid="_x0000_s1330"/>
    <customShpInfo spid="_x0000_s1331"/>
    <customShpInfo spid="_x0000_s1329"/>
    <customShpInfo spid="_x0000_s1333"/>
    <customShpInfo spid="_x0000_s1334"/>
    <customShpInfo spid="_x0000_s1332"/>
    <customShpInfo spid="_x0000_s1336"/>
    <customShpInfo spid="_x0000_s1337"/>
    <customShpInfo spid="_x0000_s1335"/>
    <customShpInfo spid="_x0000_s1039"/>
    <customShpInfo spid="_x0000_s1038"/>
    <customShpInfo spid="_x0000_s1037"/>
    <customShpInfo spid="_x0000_s1036"/>
    <customShpInfo spid="_x0000_s1339"/>
    <customShpInfo spid="_x0000_s1340"/>
    <customShpInfo spid="_x0000_s1338"/>
    <customShpInfo spid="_x0000_s1035"/>
    <customShpInfo spid="_x0000_s1034"/>
    <customShpInfo spid="_x0000_s1033"/>
    <customShpInfo spid="_x0000_s1342"/>
    <customShpInfo spid="_x0000_s1343"/>
    <customShpInfo spid="_x0000_s1341"/>
    <customShpInfo spid="_x0000_s1032"/>
    <customShpInfo spid="_x0000_s1031"/>
    <customShpInfo spid="_x0000_s1030"/>
    <customShpInfo spid="_x0000_s1029"/>
    <customShpInfo spid="_x0000_s1028"/>
    <customShpInfo spid="_x0000_s1027"/>
    <customShpInfo spid="_x0000_s1345"/>
    <customShpInfo spid="_x0000_s1346"/>
    <customShpInfo spid="_x0000_s1344"/>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4DC277D6-D6E2-4F23-80E1-3C217E872EE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2161</Words>
  <Characters>12318</Characters>
  <Lines>102</Lines>
  <Paragraphs>28</Paragraphs>
  <TotalTime>6</TotalTime>
  <ScaleCrop>false</ScaleCrop>
  <LinksUpToDate>false</LinksUpToDate>
  <CharactersWithSpaces>14451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2019-09-24T01:01:00Z</dcterms:created>
  <dc:creator>User</dc:creator>
  <cp:lastModifiedBy>AJ</cp:lastModifiedBy>
  <cp:lastPrinted>2020-08-28T07:15:00Z</cp:lastPrinted>
  <dcterms:modified xsi:type="dcterms:W3CDTF">2020-08-28T08:11:20Z</dcterms:modified>
  <dc:subject>石家庄市xxx部门</dc:subject>
  <dc:title>2017年度部门决算</dc:title>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